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02CB21" w14:textId="77777777" w:rsidR="00775AC1" w:rsidRDefault="00B33081" w:rsidP="00D35B24">
      <w:pPr>
        <w:kinsoku w:val="0"/>
        <w:overflowPunct w:val="0"/>
        <w:autoSpaceDE/>
        <w:autoSpaceDN/>
        <w:adjustRightInd/>
        <w:spacing w:after="480"/>
        <w:jc w:val="center"/>
        <w:textAlignment w:val="baseline"/>
        <w:rPr>
          <w:b/>
          <w:bCs/>
          <w:sz w:val="24"/>
          <w:szCs w:val="24"/>
        </w:rPr>
      </w:pPr>
      <w:bookmarkStart w:id="0" w:name="_GoBack"/>
      <w:bookmarkEnd w:id="0"/>
    </w:p>
    <w:p w14:paraId="0737A7E7" w14:textId="77777777" w:rsidR="00D35B24" w:rsidRDefault="00AF041B" w:rsidP="00D35B24">
      <w:pPr>
        <w:kinsoku w:val="0"/>
        <w:overflowPunct w:val="0"/>
        <w:autoSpaceDE/>
        <w:autoSpaceDN/>
        <w:adjustRightInd/>
        <w:spacing w:after="480"/>
        <w:jc w:val="center"/>
        <w:textAlignment w:val="baseline"/>
        <w:rPr>
          <w:b/>
          <w:bCs/>
          <w:sz w:val="24"/>
          <w:szCs w:val="24"/>
        </w:rPr>
      </w:pPr>
      <w:r>
        <w:rPr>
          <w:b/>
          <w:bCs/>
          <w:sz w:val="24"/>
          <w:szCs w:val="24"/>
        </w:rPr>
        <w:t>DOCKET NO. 49816</w:t>
      </w:r>
    </w:p>
    <w:tbl>
      <w:tblPr>
        <w:tblW w:w="9342" w:type="dxa"/>
        <w:tblInd w:w="216" w:type="dxa"/>
        <w:tblLayout w:type="fixed"/>
        <w:tblLook w:val="04A0" w:firstRow="1" w:lastRow="0" w:firstColumn="1" w:lastColumn="0" w:noHBand="0" w:noVBand="1"/>
      </w:tblPr>
      <w:tblGrid>
        <w:gridCol w:w="4572"/>
        <w:gridCol w:w="360"/>
        <w:gridCol w:w="4410"/>
      </w:tblGrid>
      <w:tr w:rsidR="00F0423C" w14:paraId="60722CA0" w14:textId="77777777" w:rsidTr="00125629">
        <w:tc>
          <w:tcPr>
            <w:tcW w:w="4572" w:type="dxa"/>
            <w:shd w:val="clear" w:color="auto" w:fill="auto"/>
          </w:tcPr>
          <w:p w14:paraId="7D310695" w14:textId="77777777" w:rsidR="00125629" w:rsidRPr="00125629" w:rsidRDefault="00AF041B" w:rsidP="00125629">
            <w:pPr>
              <w:kinsoku w:val="0"/>
              <w:overflowPunct w:val="0"/>
              <w:autoSpaceDE/>
              <w:autoSpaceDN/>
              <w:adjustRightInd/>
              <w:ind w:right="360"/>
              <w:textAlignment w:val="baseline"/>
              <w:rPr>
                <w:b/>
                <w:bCs/>
                <w:sz w:val="24"/>
                <w:szCs w:val="24"/>
              </w:rPr>
            </w:pPr>
            <w:r w:rsidRPr="00125629">
              <w:rPr>
                <w:b/>
                <w:bCs/>
                <w:sz w:val="24"/>
                <w:szCs w:val="24"/>
              </w:rPr>
              <w:t>NON-STANDARD TRUE-UP FILING OF ENTERGY TEXAS</w:t>
            </w:r>
            <w:r>
              <w:rPr>
                <w:b/>
                <w:bCs/>
                <w:sz w:val="24"/>
                <w:szCs w:val="24"/>
              </w:rPr>
              <w:t>,</w:t>
            </w:r>
            <w:r w:rsidRPr="00125629">
              <w:rPr>
                <w:b/>
                <w:bCs/>
                <w:sz w:val="24"/>
                <w:szCs w:val="24"/>
              </w:rPr>
              <w:t xml:space="preserve"> INC. PURSUANT TO THE FINANCING ORDER IN DOCKET NO. 37247 CONCERNING SCHEDULE S</w:t>
            </w:r>
            <w:r>
              <w:rPr>
                <w:b/>
                <w:bCs/>
                <w:sz w:val="24"/>
                <w:szCs w:val="24"/>
              </w:rPr>
              <w:t>RC</w:t>
            </w:r>
          </w:p>
        </w:tc>
        <w:tc>
          <w:tcPr>
            <w:tcW w:w="360" w:type="dxa"/>
            <w:shd w:val="clear" w:color="auto" w:fill="auto"/>
          </w:tcPr>
          <w:p w14:paraId="5CD66EC6" w14:textId="77777777" w:rsidR="00125629" w:rsidRPr="00125629" w:rsidRDefault="00AF041B" w:rsidP="00125629">
            <w:pPr>
              <w:kinsoku w:val="0"/>
              <w:overflowPunct w:val="0"/>
              <w:autoSpaceDE/>
              <w:autoSpaceDN/>
              <w:adjustRightInd/>
              <w:ind w:right="360"/>
              <w:jc w:val="center"/>
              <w:textAlignment w:val="baseline"/>
              <w:rPr>
                <w:b/>
                <w:bCs/>
                <w:sz w:val="24"/>
                <w:szCs w:val="24"/>
              </w:rPr>
            </w:pPr>
            <w:r w:rsidRPr="00125629">
              <w:rPr>
                <w:b/>
                <w:bCs/>
                <w:sz w:val="24"/>
                <w:szCs w:val="24"/>
              </w:rPr>
              <w:t>§</w:t>
            </w:r>
          </w:p>
          <w:p w14:paraId="29648A75" w14:textId="77777777" w:rsidR="00125629" w:rsidRPr="00125629" w:rsidRDefault="00AF041B" w:rsidP="00125629">
            <w:pPr>
              <w:kinsoku w:val="0"/>
              <w:overflowPunct w:val="0"/>
              <w:autoSpaceDE/>
              <w:autoSpaceDN/>
              <w:adjustRightInd/>
              <w:ind w:right="360"/>
              <w:jc w:val="center"/>
              <w:textAlignment w:val="baseline"/>
              <w:rPr>
                <w:b/>
                <w:bCs/>
                <w:sz w:val="24"/>
                <w:szCs w:val="24"/>
              </w:rPr>
            </w:pPr>
            <w:r w:rsidRPr="00125629">
              <w:rPr>
                <w:b/>
                <w:bCs/>
                <w:sz w:val="24"/>
                <w:szCs w:val="24"/>
              </w:rPr>
              <w:t>§</w:t>
            </w:r>
          </w:p>
          <w:p w14:paraId="11206CE5" w14:textId="77777777" w:rsidR="00125629" w:rsidRPr="00125629" w:rsidRDefault="00AF041B" w:rsidP="00125629">
            <w:pPr>
              <w:kinsoku w:val="0"/>
              <w:overflowPunct w:val="0"/>
              <w:autoSpaceDE/>
              <w:autoSpaceDN/>
              <w:adjustRightInd/>
              <w:ind w:right="360"/>
              <w:jc w:val="center"/>
              <w:textAlignment w:val="baseline"/>
              <w:rPr>
                <w:b/>
                <w:bCs/>
                <w:sz w:val="24"/>
                <w:szCs w:val="24"/>
              </w:rPr>
            </w:pPr>
            <w:r w:rsidRPr="00125629">
              <w:rPr>
                <w:b/>
                <w:bCs/>
                <w:sz w:val="24"/>
                <w:szCs w:val="24"/>
              </w:rPr>
              <w:t>§</w:t>
            </w:r>
          </w:p>
          <w:p w14:paraId="23FE3E1F" w14:textId="77777777" w:rsidR="00125629" w:rsidRPr="00125629" w:rsidRDefault="00AF041B" w:rsidP="00125629">
            <w:pPr>
              <w:kinsoku w:val="0"/>
              <w:overflowPunct w:val="0"/>
              <w:autoSpaceDE/>
              <w:autoSpaceDN/>
              <w:adjustRightInd/>
              <w:ind w:right="360"/>
              <w:jc w:val="center"/>
              <w:textAlignment w:val="baseline"/>
              <w:rPr>
                <w:b/>
                <w:bCs/>
                <w:sz w:val="24"/>
                <w:szCs w:val="24"/>
              </w:rPr>
            </w:pPr>
            <w:r w:rsidRPr="00125629">
              <w:rPr>
                <w:b/>
                <w:bCs/>
                <w:sz w:val="24"/>
                <w:szCs w:val="24"/>
              </w:rPr>
              <w:t>§§</w:t>
            </w:r>
          </w:p>
        </w:tc>
        <w:tc>
          <w:tcPr>
            <w:tcW w:w="4410" w:type="dxa"/>
            <w:shd w:val="clear" w:color="auto" w:fill="auto"/>
          </w:tcPr>
          <w:p w14:paraId="6BA1F630" w14:textId="77777777" w:rsidR="00125629" w:rsidRPr="00125629" w:rsidRDefault="00AF041B" w:rsidP="00125629">
            <w:pPr>
              <w:kinsoku w:val="0"/>
              <w:overflowPunct w:val="0"/>
              <w:autoSpaceDE/>
              <w:autoSpaceDN/>
              <w:adjustRightInd/>
              <w:ind w:right="360"/>
              <w:jc w:val="center"/>
              <w:textAlignment w:val="baseline"/>
              <w:rPr>
                <w:b/>
                <w:bCs/>
                <w:sz w:val="24"/>
                <w:szCs w:val="24"/>
              </w:rPr>
            </w:pPr>
            <w:r w:rsidRPr="00125629">
              <w:rPr>
                <w:b/>
                <w:bCs/>
                <w:sz w:val="24"/>
                <w:szCs w:val="24"/>
              </w:rPr>
              <w:t>PUBLIC UTILITY COMMISSION</w:t>
            </w:r>
          </w:p>
          <w:p w14:paraId="3F6E81DA" w14:textId="77777777" w:rsidR="00125629" w:rsidRPr="00125629" w:rsidRDefault="00B33081" w:rsidP="00125629">
            <w:pPr>
              <w:kinsoku w:val="0"/>
              <w:overflowPunct w:val="0"/>
              <w:autoSpaceDE/>
              <w:autoSpaceDN/>
              <w:adjustRightInd/>
              <w:ind w:right="360"/>
              <w:jc w:val="center"/>
              <w:textAlignment w:val="baseline"/>
              <w:rPr>
                <w:b/>
                <w:bCs/>
                <w:sz w:val="24"/>
                <w:szCs w:val="24"/>
              </w:rPr>
            </w:pPr>
          </w:p>
          <w:p w14:paraId="0D787020" w14:textId="77777777" w:rsidR="00125629" w:rsidRPr="00125629" w:rsidRDefault="00AF041B" w:rsidP="00125629">
            <w:pPr>
              <w:kinsoku w:val="0"/>
              <w:overflowPunct w:val="0"/>
              <w:autoSpaceDE/>
              <w:autoSpaceDN/>
              <w:adjustRightInd/>
              <w:ind w:right="360"/>
              <w:jc w:val="center"/>
              <w:textAlignment w:val="baseline"/>
              <w:rPr>
                <w:b/>
                <w:bCs/>
                <w:sz w:val="24"/>
                <w:szCs w:val="24"/>
              </w:rPr>
            </w:pPr>
            <w:r w:rsidRPr="00125629">
              <w:rPr>
                <w:b/>
                <w:bCs/>
                <w:sz w:val="24"/>
                <w:szCs w:val="24"/>
              </w:rPr>
              <w:t>OF TEXAS</w:t>
            </w:r>
          </w:p>
        </w:tc>
      </w:tr>
    </w:tbl>
    <w:p w14:paraId="1726EE63" w14:textId="77777777" w:rsidR="00D35B24" w:rsidRPr="00212A1D" w:rsidRDefault="00AF041B" w:rsidP="00D35B24">
      <w:pPr>
        <w:kinsoku w:val="0"/>
        <w:overflowPunct w:val="0"/>
        <w:autoSpaceDE/>
        <w:autoSpaceDN/>
        <w:adjustRightInd/>
        <w:spacing w:before="480" w:after="360"/>
        <w:jc w:val="center"/>
        <w:textAlignment w:val="baseline"/>
        <w:rPr>
          <w:b/>
          <w:bCs/>
          <w:sz w:val="24"/>
          <w:szCs w:val="24"/>
        </w:rPr>
      </w:pPr>
      <w:r>
        <w:rPr>
          <w:b/>
          <w:bCs/>
          <w:sz w:val="24"/>
          <w:szCs w:val="24"/>
        </w:rPr>
        <w:t xml:space="preserve">PROPOSED </w:t>
      </w:r>
      <w:r w:rsidRPr="00212A1D">
        <w:rPr>
          <w:b/>
          <w:bCs/>
          <w:sz w:val="24"/>
          <w:szCs w:val="24"/>
        </w:rPr>
        <w:t>ORDER</w:t>
      </w:r>
    </w:p>
    <w:p w14:paraId="4B9413E5" w14:textId="77777777" w:rsidR="009F2284" w:rsidRPr="00A8127C" w:rsidRDefault="00AF041B" w:rsidP="00DD3BB6">
      <w:pPr>
        <w:kinsoku w:val="0"/>
        <w:overflowPunct w:val="0"/>
        <w:autoSpaceDE/>
        <w:autoSpaceDN/>
        <w:adjustRightInd/>
        <w:spacing w:before="120" w:line="360" w:lineRule="auto"/>
        <w:ind w:right="72" w:firstLine="720"/>
        <w:jc w:val="both"/>
        <w:textAlignment w:val="baseline"/>
        <w:rPr>
          <w:sz w:val="24"/>
          <w:szCs w:val="24"/>
        </w:rPr>
      </w:pPr>
      <w:r w:rsidRPr="00A8127C">
        <w:rPr>
          <w:sz w:val="24"/>
          <w:szCs w:val="24"/>
        </w:rPr>
        <w:t xml:space="preserve">This </w:t>
      </w:r>
      <w:r>
        <w:rPr>
          <w:sz w:val="24"/>
          <w:szCs w:val="24"/>
        </w:rPr>
        <w:t xml:space="preserve">Proposed </w:t>
      </w:r>
      <w:r w:rsidRPr="00A8127C">
        <w:rPr>
          <w:sz w:val="24"/>
          <w:szCs w:val="24"/>
        </w:rPr>
        <w:t xml:space="preserve">Order addresses Entergy Texas, Inc.’s </w:t>
      </w:r>
      <w:r>
        <w:rPr>
          <w:sz w:val="24"/>
          <w:szCs w:val="24"/>
        </w:rPr>
        <w:t xml:space="preserve">application </w:t>
      </w:r>
      <w:r w:rsidRPr="00A8127C">
        <w:rPr>
          <w:sz w:val="24"/>
          <w:szCs w:val="24"/>
        </w:rPr>
        <w:t xml:space="preserve">for </w:t>
      </w:r>
      <w:r>
        <w:rPr>
          <w:sz w:val="24"/>
          <w:szCs w:val="24"/>
        </w:rPr>
        <w:t xml:space="preserve">a </w:t>
      </w:r>
      <w:r w:rsidRPr="00A8127C">
        <w:rPr>
          <w:sz w:val="24"/>
          <w:szCs w:val="24"/>
        </w:rPr>
        <w:t>non-standard true-up filed in accordance with the financing order in Docket No. 37247.</w:t>
      </w:r>
      <w:r>
        <w:rPr>
          <w:rStyle w:val="FootnoteReference"/>
          <w:sz w:val="24"/>
          <w:szCs w:val="24"/>
        </w:rPr>
        <w:footnoteReference w:id="1"/>
      </w:r>
      <w:r w:rsidRPr="00A8127C">
        <w:rPr>
          <w:sz w:val="24"/>
          <w:szCs w:val="24"/>
        </w:rPr>
        <w:t xml:space="preserve">  The Commission approves ETI’s revised Schedule S</w:t>
      </w:r>
      <w:r>
        <w:rPr>
          <w:sz w:val="24"/>
          <w:szCs w:val="24"/>
        </w:rPr>
        <w:t>RC</w:t>
      </w:r>
      <w:r w:rsidRPr="00A8127C">
        <w:rPr>
          <w:sz w:val="24"/>
          <w:szCs w:val="24"/>
        </w:rPr>
        <w:t xml:space="preserve"> – Attachment A, Initial or Adjusted </w:t>
      </w:r>
      <w:r>
        <w:rPr>
          <w:sz w:val="24"/>
          <w:szCs w:val="24"/>
        </w:rPr>
        <w:t>System</w:t>
      </w:r>
      <w:r w:rsidRPr="00A8127C">
        <w:rPr>
          <w:sz w:val="24"/>
          <w:szCs w:val="24"/>
        </w:rPr>
        <w:t xml:space="preserve"> </w:t>
      </w:r>
      <w:r>
        <w:rPr>
          <w:sz w:val="24"/>
          <w:szCs w:val="24"/>
        </w:rPr>
        <w:t>Restoration Costs</w:t>
      </w:r>
      <w:r w:rsidRPr="00A8127C">
        <w:rPr>
          <w:sz w:val="24"/>
          <w:szCs w:val="24"/>
        </w:rPr>
        <w:t xml:space="preserve"> Rates.</w:t>
      </w:r>
    </w:p>
    <w:p w14:paraId="0ACC206C" w14:textId="77777777" w:rsidR="009F2284" w:rsidRPr="00A8127C" w:rsidRDefault="00AF041B" w:rsidP="00DD3BB6">
      <w:pPr>
        <w:kinsoku w:val="0"/>
        <w:overflowPunct w:val="0"/>
        <w:autoSpaceDE/>
        <w:autoSpaceDN/>
        <w:adjustRightInd/>
        <w:spacing w:before="120" w:line="360" w:lineRule="auto"/>
        <w:ind w:left="720"/>
        <w:textAlignment w:val="baseline"/>
        <w:rPr>
          <w:sz w:val="24"/>
          <w:szCs w:val="24"/>
        </w:rPr>
      </w:pPr>
      <w:r w:rsidRPr="00A8127C">
        <w:rPr>
          <w:sz w:val="24"/>
          <w:szCs w:val="24"/>
        </w:rPr>
        <w:t>The Commission adopts the following findings of fact and conclusions of law:</w:t>
      </w:r>
    </w:p>
    <w:p w14:paraId="540475BF" w14:textId="77777777" w:rsidR="009F2284" w:rsidRPr="00A8127C" w:rsidRDefault="00AF041B" w:rsidP="0082290E">
      <w:pPr>
        <w:tabs>
          <w:tab w:val="left" w:pos="360"/>
        </w:tabs>
        <w:kinsoku w:val="0"/>
        <w:overflowPunct w:val="0"/>
        <w:autoSpaceDE/>
        <w:autoSpaceDN/>
        <w:adjustRightInd/>
        <w:spacing w:before="240"/>
        <w:jc w:val="center"/>
        <w:textAlignment w:val="baseline"/>
        <w:rPr>
          <w:b/>
          <w:bCs/>
          <w:sz w:val="24"/>
          <w:szCs w:val="24"/>
        </w:rPr>
      </w:pPr>
      <w:r w:rsidRPr="00A8127C">
        <w:rPr>
          <w:b/>
          <w:bCs/>
          <w:sz w:val="24"/>
          <w:szCs w:val="24"/>
        </w:rPr>
        <w:t>I.</w:t>
      </w:r>
      <w:r w:rsidRPr="00A8127C">
        <w:rPr>
          <w:b/>
          <w:bCs/>
          <w:sz w:val="24"/>
          <w:szCs w:val="24"/>
        </w:rPr>
        <w:tab/>
        <w:t>Findings of Fact</w:t>
      </w:r>
    </w:p>
    <w:p w14:paraId="4A260829" w14:textId="77777777" w:rsidR="00DD3BB6" w:rsidRPr="00A8127C" w:rsidRDefault="00AF041B" w:rsidP="00DD3BB6">
      <w:pPr>
        <w:kinsoku w:val="0"/>
        <w:overflowPunct w:val="0"/>
        <w:autoSpaceDE/>
        <w:autoSpaceDN/>
        <w:adjustRightInd/>
        <w:spacing w:before="120" w:line="360" w:lineRule="auto"/>
        <w:jc w:val="both"/>
        <w:textAlignment w:val="baseline"/>
        <w:rPr>
          <w:b/>
          <w:i/>
          <w:sz w:val="24"/>
          <w:szCs w:val="24"/>
          <w:u w:val="single"/>
        </w:rPr>
      </w:pPr>
      <w:r w:rsidRPr="00A8127C">
        <w:rPr>
          <w:b/>
          <w:i/>
          <w:sz w:val="24"/>
          <w:szCs w:val="24"/>
          <w:u w:val="single"/>
        </w:rPr>
        <w:t xml:space="preserve">Applicant </w:t>
      </w:r>
    </w:p>
    <w:p w14:paraId="3013FCB0" w14:textId="77777777" w:rsidR="00A8369D" w:rsidRDefault="00AF041B" w:rsidP="009779DD">
      <w:pPr>
        <w:numPr>
          <w:ilvl w:val="0"/>
          <w:numId w:val="8"/>
        </w:numPr>
        <w:kinsoku w:val="0"/>
        <w:overflowPunct w:val="0"/>
        <w:autoSpaceDE/>
        <w:autoSpaceDN/>
        <w:adjustRightInd/>
        <w:spacing w:before="120" w:line="360" w:lineRule="auto"/>
        <w:jc w:val="both"/>
        <w:textAlignment w:val="baseline"/>
        <w:rPr>
          <w:bCs/>
          <w:iCs/>
          <w:sz w:val="24"/>
          <w:szCs w:val="24"/>
        </w:rPr>
      </w:pPr>
      <w:r w:rsidRPr="00A8127C">
        <w:rPr>
          <w:bCs/>
          <w:iCs/>
          <w:sz w:val="24"/>
          <w:szCs w:val="24"/>
        </w:rPr>
        <w:t xml:space="preserve">ETI </w:t>
      </w:r>
      <w:r>
        <w:rPr>
          <w:bCs/>
          <w:iCs/>
          <w:sz w:val="24"/>
          <w:szCs w:val="24"/>
        </w:rPr>
        <w:t>generates, transmits, distributes, and sells electricity through facilities and equipment that it owns and operates in Texas under CCN number 30076.</w:t>
      </w:r>
    </w:p>
    <w:p w14:paraId="09D1C614" w14:textId="77777777" w:rsidR="00A74AE5" w:rsidRPr="00A8127C" w:rsidRDefault="00AF041B" w:rsidP="00A74AE5">
      <w:pPr>
        <w:numPr>
          <w:ilvl w:val="0"/>
          <w:numId w:val="8"/>
        </w:numPr>
        <w:kinsoku w:val="0"/>
        <w:overflowPunct w:val="0"/>
        <w:autoSpaceDE/>
        <w:autoSpaceDN/>
        <w:adjustRightInd/>
        <w:spacing w:before="120" w:line="360" w:lineRule="auto"/>
        <w:jc w:val="both"/>
        <w:textAlignment w:val="baseline"/>
        <w:rPr>
          <w:sz w:val="24"/>
          <w:szCs w:val="24"/>
        </w:rPr>
      </w:pPr>
      <w:r w:rsidRPr="00A8127C">
        <w:rPr>
          <w:sz w:val="24"/>
          <w:szCs w:val="24"/>
        </w:rPr>
        <w:t>On September 11, 2009, the Commission approved a financing order in Docket No. 37247, which authorized ETI to issue transition bonds in an aggregate principal amount of $539,881,826 to recover hurricane related costs.</w:t>
      </w:r>
    </w:p>
    <w:p w14:paraId="4FA8B472" w14:textId="77777777" w:rsidR="00DD3BB6" w:rsidRPr="00A8127C" w:rsidRDefault="00AF041B" w:rsidP="00DD3BB6">
      <w:pPr>
        <w:kinsoku w:val="0"/>
        <w:overflowPunct w:val="0"/>
        <w:autoSpaceDE/>
        <w:autoSpaceDN/>
        <w:adjustRightInd/>
        <w:spacing w:before="120" w:line="360" w:lineRule="auto"/>
        <w:jc w:val="both"/>
        <w:textAlignment w:val="baseline"/>
        <w:rPr>
          <w:b/>
          <w:i/>
          <w:sz w:val="24"/>
          <w:szCs w:val="24"/>
          <w:u w:val="single"/>
        </w:rPr>
      </w:pPr>
      <w:r>
        <w:rPr>
          <w:b/>
          <w:i/>
          <w:sz w:val="24"/>
          <w:szCs w:val="24"/>
          <w:u w:val="single"/>
        </w:rPr>
        <w:t>Schedule SRC</w:t>
      </w:r>
    </w:p>
    <w:p w14:paraId="161F68AF" w14:textId="77777777" w:rsidR="009F2284" w:rsidRPr="00A8127C" w:rsidRDefault="00AF041B" w:rsidP="00A74AE5">
      <w:pPr>
        <w:numPr>
          <w:ilvl w:val="0"/>
          <w:numId w:val="1"/>
        </w:numPr>
        <w:kinsoku w:val="0"/>
        <w:overflowPunct w:val="0"/>
        <w:autoSpaceDE/>
        <w:autoSpaceDN/>
        <w:adjustRightInd/>
        <w:spacing w:before="120" w:line="360" w:lineRule="auto"/>
        <w:jc w:val="both"/>
        <w:textAlignment w:val="baseline"/>
        <w:rPr>
          <w:sz w:val="24"/>
          <w:szCs w:val="24"/>
        </w:rPr>
      </w:pPr>
      <w:r w:rsidRPr="00A8127C">
        <w:rPr>
          <w:sz w:val="24"/>
          <w:szCs w:val="24"/>
        </w:rPr>
        <w:t>ETI issued transition bond</w:t>
      </w:r>
      <w:r>
        <w:rPr>
          <w:sz w:val="24"/>
          <w:szCs w:val="24"/>
        </w:rPr>
        <w:t xml:space="preserve">s </w:t>
      </w:r>
      <w:r w:rsidRPr="00A8127C">
        <w:rPr>
          <w:sz w:val="24"/>
          <w:szCs w:val="24"/>
        </w:rPr>
        <w:t xml:space="preserve">on </w:t>
      </w:r>
      <w:proofErr w:type="gramStart"/>
      <w:r w:rsidRPr="00A8127C">
        <w:rPr>
          <w:sz w:val="24"/>
          <w:szCs w:val="24"/>
        </w:rPr>
        <w:t>November 6, 2009, and</w:t>
      </w:r>
      <w:proofErr w:type="gramEnd"/>
      <w:r w:rsidRPr="00A8127C">
        <w:rPr>
          <w:sz w:val="24"/>
          <w:szCs w:val="24"/>
        </w:rPr>
        <w:t xml:space="preserve"> began billing system restoration costs (SRC) charges on November 30, 2009.</w:t>
      </w:r>
    </w:p>
    <w:p w14:paraId="4DFFD14C" w14:textId="77777777" w:rsidR="009E67EE" w:rsidRDefault="00AF041B" w:rsidP="00B103AD">
      <w:pPr>
        <w:widowControl/>
        <w:numPr>
          <w:ilvl w:val="0"/>
          <w:numId w:val="1"/>
        </w:numPr>
        <w:kinsoku w:val="0"/>
        <w:overflowPunct w:val="0"/>
        <w:autoSpaceDE/>
        <w:autoSpaceDN/>
        <w:adjustRightInd/>
        <w:spacing w:before="120" w:line="360" w:lineRule="auto"/>
        <w:jc w:val="both"/>
        <w:textAlignment w:val="baseline"/>
        <w:rPr>
          <w:sz w:val="24"/>
          <w:szCs w:val="24"/>
        </w:rPr>
      </w:pPr>
      <w:r>
        <w:rPr>
          <w:sz w:val="24"/>
          <w:szCs w:val="24"/>
        </w:rPr>
        <w:t xml:space="preserve">The non-standard true-up procedure addressed in findings of fact 86 through 88 of the financing </w:t>
      </w:r>
      <w:proofErr w:type="gramStart"/>
      <w:r>
        <w:rPr>
          <w:sz w:val="24"/>
          <w:szCs w:val="24"/>
        </w:rPr>
        <w:t>order</w:t>
      </w:r>
      <w:proofErr w:type="gramEnd"/>
      <w:r>
        <w:rPr>
          <w:sz w:val="24"/>
          <w:szCs w:val="24"/>
        </w:rPr>
        <w:t xml:space="preserve"> allows for adjustment of Schedule SRC if the forecasted billing units for any </w:t>
      </w:r>
      <w:r>
        <w:rPr>
          <w:sz w:val="24"/>
          <w:szCs w:val="24"/>
        </w:rPr>
        <w:lastRenderedPageBreak/>
        <w:t>one of the classes for an upcoming period decrease by more than 10% compared to the threshold billing determinants established for the annual period ending December 31, 2008.</w:t>
      </w:r>
    </w:p>
    <w:p w14:paraId="6A0D34A3" w14:textId="77777777" w:rsidR="003125FE" w:rsidRPr="00D57B1F" w:rsidRDefault="00AF041B" w:rsidP="00D57B1F">
      <w:pPr>
        <w:widowControl/>
        <w:numPr>
          <w:ilvl w:val="0"/>
          <w:numId w:val="1"/>
        </w:numPr>
        <w:kinsoku w:val="0"/>
        <w:overflowPunct w:val="0"/>
        <w:autoSpaceDE/>
        <w:autoSpaceDN/>
        <w:adjustRightInd/>
        <w:spacing w:before="120" w:line="360" w:lineRule="auto"/>
        <w:jc w:val="both"/>
        <w:textAlignment w:val="baseline"/>
        <w:rPr>
          <w:sz w:val="24"/>
          <w:szCs w:val="24"/>
        </w:rPr>
      </w:pPr>
      <w:r>
        <w:rPr>
          <w:sz w:val="24"/>
          <w:szCs w:val="24"/>
        </w:rPr>
        <w:t xml:space="preserve">The forecasted billing </w:t>
      </w:r>
      <w:r w:rsidRPr="00D57B1F">
        <w:rPr>
          <w:bCs/>
          <w:iCs/>
          <w:sz w:val="24"/>
          <w:szCs w:val="24"/>
        </w:rPr>
        <w:t>determinants for the Year 1</w:t>
      </w:r>
      <w:r>
        <w:rPr>
          <w:bCs/>
          <w:iCs/>
          <w:sz w:val="24"/>
          <w:szCs w:val="24"/>
        </w:rPr>
        <w:t>1 billing period (November 2019 through October 2020</w:t>
      </w:r>
      <w:r w:rsidRPr="00D57B1F">
        <w:rPr>
          <w:bCs/>
          <w:iCs/>
          <w:sz w:val="24"/>
          <w:szCs w:val="24"/>
        </w:rPr>
        <w:t xml:space="preserve">) for the Experimental Economic As-Available Power Service </w:t>
      </w:r>
      <w:r>
        <w:rPr>
          <w:bCs/>
          <w:iCs/>
          <w:sz w:val="24"/>
          <w:szCs w:val="24"/>
        </w:rPr>
        <w:t xml:space="preserve">rate </w:t>
      </w:r>
      <w:r w:rsidRPr="00D57B1F">
        <w:rPr>
          <w:bCs/>
          <w:iCs/>
          <w:sz w:val="24"/>
          <w:szCs w:val="24"/>
        </w:rPr>
        <w:t xml:space="preserve">class are projected to be more than 10% below the billing determinants established in Docket No. 37247 for that class for the year ending </w:t>
      </w:r>
      <w:r>
        <w:rPr>
          <w:bCs/>
          <w:iCs/>
          <w:sz w:val="24"/>
          <w:szCs w:val="24"/>
        </w:rPr>
        <w:t>December 31, 2008 of 44,325,698 </w:t>
      </w:r>
      <w:r w:rsidRPr="00D57B1F">
        <w:rPr>
          <w:bCs/>
          <w:iCs/>
          <w:sz w:val="24"/>
          <w:szCs w:val="24"/>
        </w:rPr>
        <w:t>kWh.</w:t>
      </w:r>
    </w:p>
    <w:p w14:paraId="17A93DDD" w14:textId="77777777" w:rsidR="009F2284" w:rsidRPr="00AC0656" w:rsidRDefault="00AF041B" w:rsidP="00AC0656">
      <w:pPr>
        <w:kinsoku w:val="0"/>
        <w:overflowPunct w:val="0"/>
        <w:autoSpaceDE/>
        <w:autoSpaceDN/>
        <w:adjustRightInd/>
        <w:spacing w:before="120" w:line="360" w:lineRule="auto"/>
        <w:ind w:right="1080"/>
        <w:jc w:val="both"/>
        <w:textAlignment w:val="baseline"/>
        <w:rPr>
          <w:b/>
          <w:bCs/>
          <w:i/>
          <w:iCs/>
          <w:sz w:val="24"/>
          <w:szCs w:val="24"/>
          <w:u w:val="single"/>
        </w:rPr>
      </w:pPr>
      <w:r w:rsidRPr="00AC0656">
        <w:rPr>
          <w:b/>
          <w:bCs/>
          <w:i/>
          <w:iCs/>
          <w:sz w:val="24"/>
          <w:szCs w:val="24"/>
          <w:u w:val="single"/>
        </w:rPr>
        <w:t>Application</w:t>
      </w:r>
    </w:p>
    <w:p w14:paraId="52B7094C" w14:textId="77777777" w:rsidR="00A8127C" w:rsidRPr="00A8127C" w:rsidRDefault="00AF041B" w:rsidP="00B103AD">
      <w:pPr>
        <w:numPr>
          <w:ilvl w:val="0"/>
          <w:numId w:val="1"/>
        </w:numPr>
        <w:kinsoku w:val="0"/>
        <w:overflowPunct w:val="0"/>
        <w:autoSpaceDE/>
        <w:autoSpaceDN/>
        <w:adjustRightInd/>
        <w:spacing w:before="120" w:line="360" w:lineRule="auto"/>
        <w:jc w:val="both"/>
        <w:textAlignment w:val="baseline"/>
        <w:rPr>
          <w:sz w:val="24"/>
          <w:szCs w:val="24"/>
        </w:rPr>
      </w:pPr>
      <w:r w:rsidRPr="00A8127C">
        <w:rPr>
          <w:sz w:val="24"/>
          <w:szCs w:val="24"/>
        </w:rPr>
        <w:t xml:space="preserve">On </w:t>
      </w:r>
      <w:r>
        <w:rPr>
          <w:sz w:val="24"/>
          <w:szCs w:val="24"/>
        </w:rPr>
        <w:t>August 1, 2019</w:t>
      </w:r>
      <w:r w:rsidRPr="00A8127C">
        <w:rPr>
          <w:sz w:val="24"/>
          <w:szCs w:val="24"/>
        </w:rPr>
        <w:t xml:space="preserve">, ETI filed </w:t>
      </w:r>
      <w:r>
        <w:rPr>
          <w:sz w:val="24"/>
          <w:szCs w:val="24"/>
        </w:rPr>
        <w:t xml:space="preserve">a petition to initiate a non-standard true-up and adjustment of Schedule SRC.  ETI’s petition included the </w:t>
      </w:r>
      <w:r w:rsidRPr="00A8127C">
        <w:rPr>
          <w:sz w:val="24"/>
          <w:szCs w:val="24"/>
        </w:rPr>
        <w:t xml:space="preserve">testimony and exhibits of Meghan </w:t>
      </w:r>
      <w:proofErr w:type="spellStart"/>
      <w:r w:rsidRPr="00A8127C">
        <w:rPr>
          <w:sz w:val="24"/>
          <w:szCs w:val="24"/>
        </w:rPr>
        <w:t>DeRoche</w:t>
      </w:r>
      <w:proofErr w:type="spellEnd"/>
      <w:r>
        <w:rPr>
          <w:sz w:val="24"/>
          <w:szCs w:val="24"/>
        </w:rPr>
        <w:t>, Senior Lead Regulatory Analyst.</w:t>
      </w:r>
    </w:p>
    <w:p w14:paraId="52EC836C" w14:textId="77777777" w:rsidR="00A74AE5" w:rsidRPr="00A8127C" w:rsidRDefault="00AF041B" w:rsidP="00B103AD">
      <w:pPr>
        <w:numPr>
          <w:ilvl w:val="0"/>
          <w:numId w:val="1"/>
        </w:numPr>
        <w:kinsoku w:val="0"/>
        <w:overflowPunct w:val="0"/>
        <w:autoSpaceDE/>
        <w:autoSpaceDN/>
        <w:adjustRightInd/>
        <w:spacing w:before="120" w:line="360" w:lineRule="auto"/>
        <w:jc w:val="both"/>
        <w:textAlignment w:val="baseline"/>
        <w:rPr>
          <w:sz w:val="24"/>
          <w:szCs w:val="24"/>
        </w:rPr>
      </w:pPr>
      <w:r w:rsidRPr="00A8127C">
        <w:rPr>
          <w:sz w:val="24"/>
          <w:szCs w:val="24"/>
        </w:rPr>
        <w:t xml:space="preserve">ETI filed the application 90 days before the proposed effective date of </w:t>
      </w:r>
      <w:r>
        <w:rPr>
          <w:sz w:val="24"/>
          <w:szCs w:val="24"/>
        </w:rPr>
        <w:t>October 30, 2019</w:t>
      </w:r>
      <w:r w:rsidRPr="00A8127C">
        <w:rPr>
          <w:sz w:val="24"/>
          <w:szCs w:val="24"/>
        </w:rPr>
        <w:t>.</w:t>
      </w:r>
    </w:p>
    <w:p w14:paraId="567AA5C4" w14:textId="77777777" w:rsidR="009F2284" w:rsidRPr="00A8127C" w:rsidRDefault="00AF041B" w:rsidP="00B103AD">
      <w:pPr>
        <w:numPr>
          <w:ilvl w:val="0"/>
          <w:numId w:val="1"/>
        </w:numPr>
        <w:kinsoku w:val="0"/>
        <w:overflowPunct w:val="0"/>
        <w:autoSpaceDE/>
        <w:autoSpaceDN/>
        <w:adjustRightInd/>
        <w:spacing w:before="120" w:line="360" w:lineRule="auto"/>
        <w:jc w:val="both"/>
        <w:textAlignment w:val="baseline"/>
        <w:rPr>
          <w:sz w:val="24"/>
          <w:szCs w:val="24"/>
        </w:rPr>
      </w:pPr>
      <w:r>
        <w:rPr>
          <w:sz w:val="24"/>
          <w:szCs w:val="24"/>
        </w:rPr>
        <w:t>The financing order requires the servicer to take the following action i</w:t>
      </w:r>
      <w:r w:rsidRPr="00A8127C">
        <w:rPr>
          <w:sz w:val="24"/>
          <w:szCs w:val="24"/>
        </w:rPr>
        <w:t>n conducting the non-standard true-up:</w:t>
      </w:r>
    </w:p>
    <w:p w14:paraId="3A3640BF" w14:textId="77777777" w:rsidR="00743AB7" w:rsidRPr="00A8127C" w:rsidRDefault="00AF041B" w:rsidP="00DD3BB6">
      <w:pPr>
        <w:numPr>
          <w:ilvl w:val="0"/>
          <w:numId w:val="3"/>
        </w:numPr>
        <w:kinsoku w:val="0"/>
        <w:overflowPunct w:val="0"/>
        <w:autoSpaceDE/>
        <w:autoSpaceDN/>
        <w:adjustRightInd/>
        <w:spacing w:before="120" w:line="360" w:lineRule="auto"/>
        <w:jc w:val="both"/>
        <w:textAlignment w:val="baseline"/>
        <w:rPr>
          <w:sz w:val="24"/>
          <w:szCs w:val="24"/>
        </w:rPr>
      </w:pPr>
      <w:r w:rsidRPr="00A8127C">
        <w:rPr>
          <w:sz w:val="24"/>
          <w:szCs w:val="24"/>
        </w:rPr>
        <w:t xml:space="preserve">allocate the upcoming period’s Periodic Billing Requirement (PBR) based on the </w:t>
      </w:r>
      <w:r w:rsidRPr="00A8127C">
        <w:rPr>
          <w:bCs/>
          <w:sz w:val="24"/>
          <w:szCs w:val="24"/>
        </w:rPr>
        <w:t xml:space="preserve">PBR </w:t>
      </w:r>
      <w:r w:rsidRPr="00A8127C">
        <w:rPr>
          <w:sz w:val="24"/>
          <w:szCs w:val="24"/>
        </w:rPr>
        <w:t xml:space="preserve">Allocation Factors </w:t>
      </w:r>
      <w:r>
        <w:rPr>
          <w:sz w:val="24"/>
          <w:szCs w:val="24"/>
        </w:rPr>
        <w:t xml:space="preserve">(PBRAF) </w:t>
      </w:r>
      <w:r w:rsidRPr="00A8127C">
        <w:rPr>
          <w:sz w:val="24"/>
          <w:szCs w:val="24"/>
        </w:rPr>
        <w:t>approved in Docket No. 36931;</w:t>
      </w:r>
      <w:r>
        <w:rPr>
          <w:rStyle w:val="FootnoteReference"/>
          <w:sz w:val="24"/>
          <w:szCs w:val="24"/>
        </w:rPr>
        <w:footnoteReference w:id="2"/>
      </w:r>
      <w:r w:rsidRPr="00A8127C">
        <w:rPr>
          <w:sz w:val="24"/>
          <w:szCs w:val="24"/>
        </w:rPr>
        <w:t xml:space="preserve"> </w:t>
      </w:r>
    </w:p>
    <w:p w14:paraId="4E5EB27B" w14:textId="77777777" w:rsidR="009F2284" w:rsidRPr="00A8127C" w:rsidRDefault="00AF041B" w:rsidP="00DD3BB6">
      <w:pPr>
        <w:numPr>
          <w:ilvl w:val="0"/>
          <w:numId w:val="3"/>
        </w:numPr>
        <w:kinsoku w:val="0"/>
        <w:overflowPunct w:val="0"/>
        <w:autoSpaceDE/>
        <w:autoSpaceDN/>
        <w:adjustRightInd/>
        <w:spacing w:before="120" w:line="360" w:lineRule="auto"/>
        <w:jc w:val="both"/>
        <w:textAlignment w:val="baseline"/>
        <w:rPr>
          <w:sz w:val="24"/>
          <w:szCs w:val="24"/>
        </w:rPr>
      </w:pPr>
      <w:r w:rsidRPr="00A8127C">
        <w:rPr>
          <w:sz w:val="24"/>
          <w:szCs w:val="24"/>
        </w:rPr>
        <w:t>calculate under</w:t>
      </w:r>
      <w:r>
        <w:rPr>
          <w:sz w:val="24"/>
          <w:szCs w:val="24"/>
        </w:rPr>
        <w:t>-</w:t>
      </w:r>
      <w:r w:rsidRPr="00A8127C">
        <w:rPr>
          <w:sz w:val="24"/>
          <w:szCs w:val="24"/>
        </w:rPr>
        <w:t>collections or over</w:t>
      </w:r>
      <w:r>
        <w:rPr>
          <w:sz w:val="24"/>
          <w:szCs w:val="24"/>
        </w:rPr>
        <w:t>-</w:t>
      </w:r>
      <w:r w:rsidRPr="00A8127C">
        <w:rPr>
          <w:sz w:val="24"/>
          <w:szCs w:val="24"/>
        </w:rPr>
        <w:t xml:space="preserve">collections, including without limitation any caused by </w:t>
      </w:r>
      <w:r>
        <w:rPr>
          <w:bCs/>
          <w:sz w:val="24"/>
          <w:szCs w:val="24"/>
        </w:rPr>
        <w:t>retail electric provider</w:t>
      </w:r>
      <w:r w:rsidRPr="00A8127C">
        <w:rPr>
          <w:bCs/>
          <w:sz w:val="24"/>
          <w:szCs w:val="24"/>
        </w:rPr>
        <w:t xml:space="preserve"> </w:t>
      </w:r>
      <w:r w:rsidRPr="00A8127C">
        <w:rPr>
          <w:sz w:val="24"/>
          <w:szCs w:val="24"/>
        </w:rPr>
        <w:t xml:space="preserve">defaults, if applicable, from the preceding period in each class by subtracting the previous period’s transition charge revenues collected from each class from the </w:t>
      </w:r>
      <w:r w:rsidRPr="00A8127C">
        <w:rPr>
          <w:bCs/>
          <w:sz w:val="24"/>
          <w:szCs w:val="24"/>
        </w:rPr>
        <w:t>PBR</w:t>
      </w:r>
      <w:r w:rsidRPr="00A8127C">
        <w:rPr>
          <w:b/>
          <w:bCs/>
          <w:sz w:val="24"/>
          <w:szCs w:val="24"/>
        </w:rPr>
        <w:t xml:space="preserve"> </w:t>
      </w:r>
      <w:r w:rsidRPr="00A8127C">
        <w:rPr>
          <w:sz w:val="24"/>
          <w:szCs w:val="24"/>
        </w:rPr>
        <w:t>determined for that class for the same period;</w:t>
      </w:r>
    </w:p>
    <w:p w14:paraId="21F20362" w14:textId="77777777" w:rsidR="009F2284" w:rsidRPr="00A8127C" w:rsidRDefault="00AF041B" w:rsidP="00DD3BB6">
      <w:pPr>
        <w:numPr>
          <w:ilvl w:val="0"/>
          <w:numId w:val="3"/>
        </w:numPr>
        <w:kinsoku w:val="0"/>
        <w:overflowPunct w:val="0"/>
        <w:autoSpaceDE/>
        <w:autoSpaceDN/>
        <w:adjustRightInd/>
        <w:spacing w:before="120" w:line="360" w:lineRule="auto"/>
        <w:jc w:val="both"/>
        <w:textAlignment w:val="baseline"/>
        <w:rPr>
          <w:sz w:val="24"/>
          <w:szCs w:val="24"/>
        </w:rPr>
      </w:pPr>
      <w:r w:rsidRPr="00A8127C">
        <w:rPr>
          <w:sz w:val="24"/>
          <w:szCs w:val="24"/>
        </w:rPr>
        <w:t xml:space="preserve">sum the amounts allocated to each customer class in steps (a) and (b) to determine an adjusted </w:t>
      </w:r>
      <w:r w:rsidRPr="00A8127C">
        <w:rPr>
          <w:bCs/>
          <w:sz w:val="24"/>
          <w:szCs w:val="24"/>
        </w:rPr>
        <w:t xml:space="preserve">PBR </w:t>
      </w:r>
      <w:r w:rsidRPr="00A8127C">
        <w:rPr>
          <w:sz w:val="24"/>
          <w:szCs w:val="24"/>
        </w:rPr>
        <w:t>for each transition charge customer class;</w:t>
      </w:r>
    </w:p>
    <w:p w14:paraId="5C789340" w14:textId="77777777" w:rsidR="009F2284" w:rsidRPr="00A8127C" w:rsidRDefault="00AF041B" w:rsidP="00DD3BB6">
      <w:pPr>
        <w:numPr>
          <w:ilvl w:val="0"/>
          <w:numId w:val="3"/>
        </w:numPr>
        <w:kinsoku w:val="0"/>
        <w:overflowPunct w:val="0"/>
        <w:autoSpaceDE/>
        <w:autoSpaceDN/>
        <w:adjustRightInd/>
        <w:spacing w:before="120" w:line="360" w:lineRule="auto"/>
        <w:jc w:val="both"/>
        <w:textAlignment w:val="baseline"/>
        <w:rPr>
          <w:sz w:val="24"/>
          <w:szCs w:val="24"/>
        </w:rPr>
      </w:pPr>
      <w:r w:rsidRPr="00A8127C">
        <w:rPr>
          <w:sz w:val="24"/>
          <w:szCs w:val="24"/>
        </w:rPr>
        <w:t xml:space="preserve">divide the </w:t>
      </w:r>
      <w:r w:rsidRPr="00A8127C">
        <w:rPr>
          <w:bCs/>
          <w:sz w:val="24"/>
          <w:szCs w:val="24"/>
        </w:rPr>
        <w:t xml:space="preserve">PBR </w:t>
      </w:r>
      <w:r w:rsidRPr="00A8127C">
        <w:rPr>
          <w:sz w:val="24"/>
          <w:szCs w:val="24"/>
        </w:rPr>
        <w:t>for each customer class by the maximum of the forecasted billing units or the threshold billing units for that class, to determine the “threshold rate;”</w:t>
      </w:r>
    </w:p>
    <w:p w14:paraId="18B5F77D" w14:textId="77777777" w:rsidR="009F2284" w:rsidRPr="00A8127C" w:rsidRDefault="00AF041B" w:rsidP="00DD3BB6">
      <w:pPr>
        <w:numPr>
          <w:ilvl w:val="0"/>
          <w:numId w:val="3"/>
        </w:numPr>
        <w:kinsoku w:val="0"/>
        <w:overflowPunct w:val="0"/>
        <w:autoSpaceDE/>
        <w:autoSpaceDN/>
        <w:adjustRightInd/>
        <w:spacing w:before="120" w:line="360" w:lineRule="auto"/>
        <w:jc w:val="both"/>
        <w:textAlignment w:val="baseline"/>
        <w:rPr>
          <w:sz w:val="24"/>
          <w:szCs w:val="24"/>
        </w:rPr>
      </w:pPr>
      <w:r w:rsidRPr="00A8127C">
        <w:rPr>
          <w:sz w:val="24"/>
          <w:szCs w:val="24"/>
        </w:rPr>
        <w:t>multiply the threshold rate by the forecasted billing units for each class to determine the expected collections under the threshold rate;</w:t>
      </w:r>
    </w:p>
    <w:p w14:paraId="17E425D8" w14:textId="77777777" w:rsidR="009F2284" w:rsidRPr="00A8127C" w:rsidRDefault="00AF041B" w:rsidP="00DD3BB6">
      <w:pPr>
        <w:numPr>
          <w:ilvl w:val="0"/>
          <w:numId w:val="3"/>
        </w:numPr>
        <w:kinsoku w:val="0"/>
        <w:overflowPunct w:val="0"/>
        <w:autoSpaceDE/>
        <w:autoSpaceDN/>
        <w:adjustRightInd/>
        <w:spacing w:before="120" w:line="360" w:lineRule="auto"/>
        <w:jc w:val="both"/>
        <w:textAlignment w:val="baseline"/>
        <w:rPr>
          <w:sz w:val="24"/>
          <w:szCs w:val="24"/>
        </w:rPr>
      </w:pPr>
      <w:r w:rsidRPr="00A8127C">
        <w:rPr>
          <w:sz w:val="24"/>
          <w:szCs w:val="24"/>
        </w:rPr>
        <w:t xml:space="preserve">allocate the difference in the adjusted </w:t>
      </w:r>
      <w:r w:rsidRPr="00A8127C">
        <w:rPr>
          <w:bCs/>
          <w:sz w:val="24"/>
          <w:szCs w:val="24"/>
        </w:rPr>
        <w:t xml:space="preserve">PBR </w:t>
      </w:r>
      <w:r w:rsidRPr="00A8127C">
        <w:rPr>
          <w:sz w:val="24"/>
          <w:szCs w:val="24"/>
        </w:rPr>
        <w:t xml:space="preserve">and the expected collections calculated </w:t>
      </w:r>
      <w:r w:rsidRPr="00A8127C">
        <w:rPr>
          <w:sz w:val="24"/>
          <w:szCs w:val="24"/>
        </w:rPr>
        <w:lastRenderedPageBreak/>
        <w:t>in step (e) among the transition charge customer classes using the PBRAFs approved in the Docket No. 36931;</w:t>
      </w:r>
    </w:p>
    <w:p w14:paraId="268C821F" w14:textId="77777777" w:rsidR="009F2284" w:rsidRPr="00A8127C" w:rsidRDefault="00AF041B" w:rsidP="00DD3BB6">
      <w:pPr>
        <w:numPr>
          <w:ilvl w:val="0"/>
          <w:numId w:val="3"/>
        </w:numPr>
        <w:kinsoku w:val="0"/>
        <w:overflowPunct w:val="0"/>
        <w:autoSpaceDE/>
        <w:autoSpaceDN/>
        <w:adjustRightInd/>
        <w:spacing w:before="120" w:line="360" w:lineRule="auto"/>
        <w:jc w:val="both"/>
        <w:textAlignment w:val="baseline"/>
        <w:rPr>
          <w:sz w:val="24"/>
          <w:szCs w:val="24"/>
        </w:rPr>
      </w:pPr>
      <w:r w:rsidRPr="00A8127C">
        <w:rPr>
          <w:sz w:val="24"/>
          <w:szCs w:val="24"/>
        </w:rPr>
        <w:t xml:space="preserve">add the amount allocated to each class in step (f) above to the expected collection amount by class calculated in step (e) above to determine the final </w:t>
      </w:r>
      <w:r w:rsidRPr="00A8127C">
        <w:rPr>
          <w:bCs/>
          <w:sz w:val="24"/>
          <w:szCs w:val="24"/>
        </w:rPr>
        <w:t xml:space="preserve">PBR </w:t>
      </w:r>
      <w:r w:rsidRPr="00A8127C">
        <w:rPr>
          <w:sz w:val="24"/>
          <w:szCs w:val="24"/>
        </w:rPr>
        <w:t>for each class; and</w:t>
      </w:r>
    </w:p>
    <w:p w14:paraId="7768B101" w14:textId="77777777" w:rsidR="009F2284" w:rsidRPr="00A8127C" w:rsidRDefault="00AF041B" w:rsidP="00DD3BB6">
      <w:pPr>
        <w:numPr>
          <w:ilvl w:val="0"/>
          <w:numId w:val="3"/>
        </w:numPr>
        <w:kinsoku w:val="0"/>
        <w:overflowPunct w:val="0"/>
        <w:autoSpaceDE/>
        <w:autoSpaceDN/>
        <w:adjustRightInd/>
        <w:spacing w:before="120" w:line="360" w:lineRule="auto"/>
        <w:jc w:val="both"/>
        <w:textAlignment w:val="baseline"/>
        <w:rPr>
          <w:sz w:val="24"/>
          <w:szCs w:val="24"/>
        </w:rPr>
      </w:pPr>
      <w:r w:rsidRPr="00A8127C">
        <w:rPr>
          <w:sz w:val="24"/>
          <w:szCs w:val="24"/>
        </w:rPr>
        <w:t xml:space="preserve">divide the final </w:t>
      </w:r>
      <w:r w:rsidRPr="00A8127C">
        <w:rPr>
          <w:bCs/>
          <w:sz w:val="24"/>
          <w:szCs w:val="24"/>
        </w:rPr>
        <w:t xml:space="preserve">PBR </w:t>
      </w:r>
      <w:r w:rsidRPr="00A8127C">
        <w:rPr>
          <w:sz w:val="24"/>
          <w:szCs w:val="24"/>
        </w:rPr>
        <w:t>for each class by the forecasted billing units to determine the transition charge rate by class for the upcoming period.</w:t>
      </w:r>
    </w:p>
    <w:p w14:paraId="065B7A17" w14:textId="77777777" w:rsidR="008247AC" w:rsidRPr="00B103AD" w:rsidRDefault="00AF041B" w:rsidP="00B103AD">
      <w:pPr>
        <w:numPr>
          <w:ilvl w:val="0"/>
          <w:numId w:val="1"/>
        </w:numPr>
        <w:kinsoku w:val="0"/>
        <w:overflowPunct w:val="0"/>
        <w:autoSpaceDE/>
        <w:autoSpaceDN/>
        <w:adjustRightInd/>
        <w:spacing w:before="120" w:line="360" w:lineRule="auto"/>
        <w:jc w:val="both"/>
        <w:textAlignment w:val="baseline"/>
        <w:rPr>
          <w:bCs/>
          <w:iCs/>
          <w:sz w:val="24"/>
          <w:szCs w:val="24"/>
        </w:rPr>
      </w:pPr>
      <w:r>
        <w:rPr>
          <w:bCs/>
          <w:iCs/>
          <w:sz w:val="24"/>
          <w:szCs w:val="24"/>
        </w:rPr>
        <w:t>Schedule SRC</w:t>
      </w:r>
      <w:r w:rsidRPr="00B103AD">
        <w:rPr>
          <w:bCs/>
          <w:iCs/>
          <w:sz w:val="24"/>
          <w:szCs w:val="24"/>
        </w:rPr>
        <w:t xml:space="preserve"> properly reflects the </w:t>
      </w:r>
      <w:r>
        <w:rPr>
          <w:bCs/>
          <w:iCs/>
          <w:sz w:val="24"/>
          <w:szCs w:val="24"/>
        </w:rPr>
        <w:t>charges</w:t>
      </w:r>
      <w:r w:rsidRPr="00B103AD">
        <w:rPr>
          <w:bCs/>
          <w:iCs/>
          <w:sz w:val="24"/>
          <w:szCs w:val="24"/>
        </w:rPr>
        <w:t xml:space="preserve"> resulting from the application of the eight-step process.</w:t>
      </w:r>
    </w:p>
    <w:p w14:paraId="7E67683E" w14:textId="77777777" w:rsidR="009F2284" w:rsidRPr="00B103AD" w:rsidRDefault="00AF041B" w:rsidP="00B103AD">
      <w:pPr>
        <w:numPr>
          <w:ilvl w:val="0"/>
          <w:numId w:val="1"/>
        </w:numPr>
        <w:kinsoku w:val="0"/>
        <w:overflowPunct w:val="0"/>
        <w:autoSpaceDE/>
        <w:autoSpaceDN/>
        <w:adjustRightInd/>
        <w:spacing w:before="120" w:line="360" w:lineRule="auto"/>
        <w:jc w:val="both"/>
        <w:textAlignment w:val="baseline"/>
        <w:rPr>
          <w:bCs/>
          <w:iCs/>
          <w:sz w:val="24"/>
          <w:szCs w:val="24"/>
        </w:rPr>
      </w:pPr>
      <w:r w:rsidRPr="00B103AD">
        <w:rPr>
          <w:bCs/>
          <w:iCs/>
          <w:sz w:val="24"/>
          <w:szCs w:val="24"/>
        </w:rPr>
        <w:t>ETI complied with the eight-step procedure described in finding of fact 87 of the financing order in Docket No. 37247.</w:t>
      </w:r>
    </w:p>
    <w:p w14:paraId="601712F3" w14:textId="77777777" w:rsidR="009F2284" w:rsidRPr="00B103AD" w:rsidRDefault="00AF041B" w:rsidP="00B103AD">
      <w:pPr>
        <w:numPr>
          <w:ilvl w:val="0"/>
          <w:numId w:val="1"/>
        </w:numPr>
        <w:kinsoku w:val="0"/>
        <w:overflowPunct w:val="0"/>
        <w:autoSpaceDE/>
        <w:autoSpaceDN/>
        <w:adjustRightInd/>
        <w:spacing w:before="120" w:line="360" w:lineRule="auto"/>
        <w:jc w:val="both"/>
        <w:textAlignment w:val="baseline"/>
        <w:rPr>
          <w:bCs/>
          <w:iCs/>
          <w:sz w:val="24"/>
          <w:szCs w:val="24"/>
        </w:rPr>
      </w:pPr>
      <w:r w:rsidRPr="00B103AD">
        <w:rPr>
          <w:bCs/>
          <w:iCs/>
          <w:sz w:val="24"/>
          <w:szCs w:val="24"/>
        </w:rPr>
        <w:t>The calculation of the S</w:t>
      </w:r>
      <w:r>
        <w:rPr>
          <w:bCs/>
          <w:iCs/>
          <w:sz w:val="24"/>
          <w:szCs w:val="24"/>
        </w:rPr>
        <w:t>RC</w:t>
      </w:r>
      <w:r w:rsidRPr="00B103AD">
        <w:rPr>
          <w:bCs/>
          <w:iCs/>
          <w:sz w:val="24"/>
          <w:szCs w:val="24"/>
        </w:rPr>
        <w:t xml:space="preserve"> rates complies with the requirements of the financing order in Docket No. 37247.</w:t>
      </w:r>
    </w:p>
    <w:p w14:paraId="703EDB00" w14:textId="77777777" w:rsidR="00D35B24" w:rsidRPr="00A8127C" w:rsidRDefault="00AF041B" w:rsidP="00D35B24">
      <w:pPr>
        <w:kinsoku w:val="0"/>
        <w:overflowPunct w:val="0"/>
        <w:autoSpaceDE/>
        <w:autoSpaceDN/>
        <w:adjustRightInd/>
        <w:spacing w:before="120" w:line="360" w:lineRule="auto"/>
        <w:jc w:val="both"/>
        <w:textAlignment w:val="baseline"/>
        <w:rPr>
          <w:b/>
          <w:i/>
          <w:sz w:val="24"/>
          <w:szCs w:val="24"/>
          <w:u w:val="single"/>
        </w:rPr>
      </w:pPr>
      <w:r w:rsidRPr="00A8127C">
        <w:rPr>
          <w:b/>
          <w:i/>
          <w:sz w:val="24"/>
          <w:szCs w:val="24"/>
          <w:u w:val="single"/>
        </w:rPr>
        <w:t xml:space="preserve">Notice </w:t>
      </w:r>
    </w:p>
    <w:p w14:paraId="36649054" w14:textId="77777777" w:rsidR="008247AC" w:rsidRPr="00B103AD" w:rsidRDefault="00AF041B" w:rsidP="00B103AD">
      <w:pPr>
        <w:numPr>
          <w:ilvl w:val="0"/>
          <w:numId w:val="1"/>
        </w:numPr>
        <w:kinsoku w:val="0"/>
        <w:overflowPunct w:val="0"/>
        <w:autoSpaceDE/>
        <w:autoSpaceDN/>
        <w:adjustRightInd/>
        <w:spacing w:before="120" w:line="360" w:lineRule="auto"/>
        <w:jc w:val="both"/>
        <w:textAlignment w:val="baseline"/>
        <w:rPr>
          <w:sz w:val="24"/>
          <w:szCs w:val="24"/>
          <w:u w:val="single"/>
        </w:rPr>
      </w:pPr>
      <w:r w:rsidRPr="00B103AD">
        <w:rPr>
          <w:sz w:val="24"/>
          <w:szCs w:val="24"/>
        </w:rPr>
        <w:t xml:space="preserve">ETI provided notice of the </w:t>
      </w:r>
      <w:r>
        <w:rPr>
          <w:sz w:val="24"/>
          <w:szCs w:val="24"/>
        </w:rPr>
        <w:t>petition</w:t>
      </w:r>
      <w:r w:rsidRPr="00B103AD">
        <w:rPr>
          <w:sz w:val="24"/>
          <w:szCs w:val="24"/>
        </w:rPr>
        <w:t xml:space="preserve"> to each party that participated in Docket No. 37247. </w:t>
      </w:r>
    </w:p>
    <w:p w14:paraId="4B01ADC6" w14:textId="77777777" w:rsidR="00DD3BB6" w:rsidRPr="008247AC" w:rsidRDefault="00AF041B" w:rsidP="008247AC">
      <w:pPr>
        <w:kinsoku w:val="0"/>
        <w:overflowPunct w:val="0"/>
        <w:autoSpaceDE/>
        <w:autoSpaceDN/>
        <w:adjustRightInd/>
        <w:spacing w:before="120" w:line="360" w:lineRule="auto"/>
        <w:jc w:val="both"/>
        <w:textAlignment w:val="baseline"/>
        <w:rPr>
          <w:b/>
          <w:i/>
          <w:sz w:val="24"/>
          <w:szCs w:val="24"/>
          <w:u w:val="single"/>
        </w:rPr>
      </w:pPr>
      <w:r w:rsidRPr="008247AC">
        <w:rPr>
          <w:b/>
          <w:i/>
          <w:sz w:val="24"/>
          <w:szCs w:val="24"/>
          <w:u w:val="single"/>
        </w:rPr>
        <w:t>Interventions</w:t>
      </w:r>
    </w:p>
    <w:p w14:paraId="1A7454CE" w14:textId="77777777" w:rsidR="00DD3BB6" w:rsidRPr="00A8127C" w:rsidRDefault="00AF041B" w:rsidP="00B103AD">
      <w:pPr>
        <w:numPr>
          <w:ilvl w:val="0"/>
          <w:numId w:val="1"/>
        </w:numPr>
        <w:kinsoku w:val="0"/>
        <w:overflowPunct w:val="0"/>
        <w:autoSpaceDE/>
        <w:autoSpaceDN/>
        <w:adjustRightInd/>
        <w:spacing w:before="120" w:line="360" w:lineRule="auto"/>
        <w:jc w:val="both"/>
        <w:textAlignment w:val="baseline"/>
        <w:rPr>
          <w:sz w:val="24"/>
          <w:szCs w:val="24"/>
        </w:rPr>
      </w:pPr>
      <w:r w:rsidRPr="00A8127C">
        <w:rPr>
          <w:sz w:val="24"/>
          <w:szCs w:val="24"/>
        </w:rPr>
        <w:t xml:space="preserve">On August </w:t>
      </w:r>
      <w:r>
        <w:rPr>
          <w:sz w:val="24"/>
          <w:szCs w:val="24"/>
        </w:rPr>
        <w:t>6, 2019</w:t>
      </w:r>
      <w:r w:rsidRPr="00A8127C">
        <w:rPr>
          <w:sz w:val="24"/>
          <w:szCs w:val="24"/>
        </w:rPr>
        <w:t xml:space="preserve">, Texas Industrial Energy Consumers </w:t>
      </w:r>
      <w:r>
        <w:rPr>
          <w:sz w:val="24"/>
          <w:szCs w:val="24"/>
        </w:rPr>
        <w:t xml:space="preserve">(TIEC) </w:t>
      </w:r>
      <w:r w:rsidRPr="00A8127C">
        <w:rPr>
          <w:sz w:val="24"/>
          <w:szCs w:val="24"/>
        </w:rPr>
        <w:t>filed a motion to intervene.</w:t>
      </w:r>
    </w:p>
    <w:p w14:paraId="7BE62E6F" w14:textId="77777777" w:rsidR="00DD3BB6" w:rsidRPr="00A8127C" w:rsidRDefault="00AF041B" w:rsidP="00B103AD">
      <w:pPr>
        <w:numPr>
          <w:ilvl w:val="0"/>
          <w:numId w:val="1"/>
        </w:numPr>
        <w:kinsoku w:val="0"/>
        <w:overflowPunct w:val="0"/>
        <w:autoSpaceDE/>
        <w:autoSpaceDN/>
        <w:adjustRightInd/>
        <w:spacing w:before="120" w:line="360" w:lineRule="auto"/>
        <w:jc w:val="both"/>
        <w:textAlignment w:val="baseline"/>
        <w:rPr>
          <w:sz w:val="24"/>
          <w:szCs w:val="24"/>
        </w:rPr>
      </w:pPr>
      <w:r w:rsidRPr="00A8127C">
        <w:rPr>
          <w:sz w:val="24"/>
          <w:szCs w:val="24"/>
        </w:rPr>
        <w:t xml:space="preserve">In Order No. </w:t>
      </w:r>
      <w:r>
        <w:rPr>
          <w:sz w:val="24"/>
          <w:szCs w:val="24"/>
        </w:rPr>
        <w:t>2</w:t>
      </w:r>
      <w:r w:rsidRPr="00A8127C">
        <w:rPr>
          <w:sz w:val="24"/>
          <w:szCs w:val="24"/>
        </w:rPr>
        <w:t xml:space="preserve"> issued on </w:t>
      </w:r>
      <w:r>
        <w:rPr>
          <w:sz w:val="24"/>
          <w:szCs w:val="24"/>
        </w:rPr>
        <w:t>August 14, 2019</w:t>
      </w:r>
      <w:r w:rsidRPr="00A8127C">
        <w:rPr>
          <w:sz w:val="24"/>
          <w:szCs w:val="24"/>
        </w:rPr>
        <w:t xml:space="preserve">, the administrative law judge granted TIEC’s motion to intervene. </w:t>
      </w:r>
    </w:p>
    <w:p w14:paraId="48906317" w14:textId="77777777" w:rsidR="00D35B24" w:rsidRDefault="00AF041B" w:rsidP="00D35B24">
      <w:pPr>
        <w:kinsoku w:val="0"/>
        <w:overflowPunct w:val="0"/>
        <w:autoSpaceDE/>
        <w:autoSpaceDN/>
        <w:adjustRightInd/>
        <w:spacing w:before="120" w:line="360" w:lineRule="auto"/>
        <w:ind w:right="72"/>
        <w:jc w:val="both"/>
        <w:textAlignment w:val="baseline"/>
        <w:rPr>
          <w:b/>
          <w:i/>
          <w:sz w:val="24"/>
          <w:szCs w:val="24"/>
          <w:u w:val="single"/>
        </w:rPr>
      </w:pPr>
      <w:r>
        <w:rPr>
          <w:b/>
          <w:i/>
          <w:sz w:val="24"/>
          <w:szCs w:val="24"/>
          <w:u w:val="single"/>
        </w:rPr>
        <w:t>Informal Disposition</w:t>
      </w:r>
    </w:p>
    <w:p w14:paraId="6636527A" w14:textId="77777777" w:rsidR="008247AC" w:rsidRDefault="00AF041B" w:rsidP="00B103AD">
      <w:pPr>
        <w:numPr>
          <w:ilvl w:val="0"/>
          <w:numId w:val="1"/>
        </w:numPr>
        <w:kinsoku w:val="0"/>
        <w:overflowPunct w:val="0"/>
        <w:autoSpaceDE/>
        <w:autoSpaceDN/>
        <w:adjustRightInd/>
        <w:spacing w:before="120" w:line="360" w:lineRule="auto"/>
        <w:jc w:val="both"/>
        <w:textAlignment w:val="baseline"/>
        <w:rPr>
          <w:sz w:val="24"/>
          <w:szCs w:val="24"/>
        </w:rPr>
      </w:pPr>
      <w:r>
        <w:rPr>
          <w:sz w:val="24"/>
          <w:szCs w:val="24"/>
        </w:rPr>
        <w:t xml:space="preserve">More than 15 days have passed since the completion of notice in this docket. </w:t>
      </w:r>
    </w:p>
    <w:p w14:paraId="4D070C74" w14:textId="77777777" w:rsidR="008247AC" w:rsidRPr="00454D3F" w:rsidRDefault="00AF041B" w:rsidP="00B103AD">
      <w:pPr>
        <w:numPr>
          <w:ilvl w:val="0"/>
          <w:numId w:val="1"/>
        </w:numPr>
        <w:kinsoku w:val="0"/>
        <w:overflowPunct w:val="0"/>
        <w:autoSpaceDE/>
        <w:autoSpaceDN/>
        <w:adjustRightInd/>
        <w:spacing w:before="120" w:line="360" w:lineRule="auto"/>
        <w:jc w:val="both"/>
        <w:textAlignment w:val="baseline"/>
        <w:rPr>
          <w:sz w:val="24"/>
          <w:szCs w:val="24"/>
        </w:rPr>
      </w:pPr>
      <w:r>
        <w:rPr>
          <w:sz w:val="24"/>
          <w:szCs w:val="24"/>
        </w:rPr>
        <w:t xml:space="preserve">ETI, </w:t>
      </w:r>
      <w:r w:rsidRPr="00454D3F">
        <w:rPr>
          <w:sz w:val="24"/>
          <w:szCs w:val="24"/>
        </w:rPr>
        <w:t>Commission Staff</w:t>
      </w:r>
      <w:r>
        <w:rPr>
          <w:sz w:val="24"/>
          <w:szCs w:val="24"/>
        </w:rPr>
        <w:t xml:space="preserve">, and TIEC </w:t>
      </w:r>
      <w:r w:rsidRPr="00454D3F">
        <w:rPr>
          <w:sz w:val="24"/>
          <w:szCs w:val="24"/>
        </w:rPr>
        <w:t>are the only parties to this proceeding.</w:t>
      </w:r>
    </w:p>
    <w:p w14:paraId="22759AD4" w14:textId="77777777" w:rsidR="008247AC" w:rsidRPr="001D4597" w:rsidRDefault="00AF041B" w:rsidP="00B103AD">
      <w:pPr>
        <w:numPr>
          <w:ilvl w:val="0"/>
          <w:numId w:val="1"/>
        </w:numPr>
        <w:kinsoku w:val="0"/>
        <w:overflowPunct w:val="0"/>
        <w:autoSpaceDE/>
        <w:autoSpaceDN/>
        <w:adjustRightInd/>
        <w:spacing w:before="120" w:line="360" w:lineRule="auto"/>
        <w:jc w:val="both"/>
        <w:textAlignment w:val="baseline"/>
        <w:rPr>
          <w:bCs/>
          <w:iCs/>
          <w:sz w:val="24"/>
          <w:szCs w:val="24"/>
          <w:u w:val="single"/>
        </w:rPr>
      </w:pPr>
      <w:r w:rsidRPr="00AF202E">
        <w:rPr>
          <w:sz w:val="24"/>
          <w:szCs w:val="24"/>
        </w:rPr>
        <w:t xml:space="preserve">No party opposed the adjusted Schedule </w:t>
      </w:r>
      <w:r>
        <w:rPr>
          <w:sz w:val="24"/>
          <w:szCs w:val="24"/>
        </w:rPr>
        <w:t xml:space="preserve">SRC </w:t>
      </w:r>
      <w:r w:rsidRPr="00AF202E">
        <w:rPr>
          <w:sz w:val="24"/>
          <w:szCs w:val="24"/>
        </w:rPr>
        <w:t xml:space="preserve">rates proposed in ETI’s </w:t>
      </w:r>
      <w:r>
        <w:rPr>
          <w:sz w:val="24"/>
          <w:szCs w:val="24"/>
        </w:rPr>
        <w:t>applicatio</w:t>
      </w:r>
      <w:r w:rsidRPr="00AF202E">
        <w:rPr>
          <w:sz w:val="24"/>
          <w:szCs w:val="24"/>
        </w:rPr>
        <w:t xml:space="preserve">n. </w:t>
      </w:r>
    </w:p>
    <w:p w14:paraId="14C184F2" w14:textId="77777777" w:rsidR="008247AC" w:rsidRDefault="00AF041B" w:rsidP="00B103AD">
      <w:pPr>
        <w:numPr>
          <w:ilvl w:val="0"/>
          <w:numId w:val="1"/>
        </w:numPr>
        <w:kinsoku w:val="0"/>
        <w:overflowPunct w:val="0"/>
        <w:autoSpaceDE/>
        <w:autoSpaceDN/>
        <w:adjustRightInd/>
        <w:spacing w:before="120" w:line="360" w:lineRule="auto"/>
        <w:jc w:val="both"/>
        <w:textAlignment w:val="baseline"/>
        <w:rPr>
          <w:sz w:val="24"/>
          <w:szCs w:val="24"/>
        </w:rPr>
      </w:pPr>
      <w:r>
        <w:rPr>
          <w:sz w:val="24"/>
          <w:szCs w:val="24"/>
        </w:rPr>
        <w:t>No party requested a hearing in this proceeding.</w:t>
      </w:r>
    </w:p>
    <w:p w14:paraId="5F15E7CB" w14:textId="77777777" w:rsidR="009F2284" w:rsidRPr="00A8127C" w:rsidRDefault="00AF041B" w:rsidP="00CC15B3">
      <w:pPr>
        <w:keepNext/>
        <w:widowControl/>
        <w:tabs>
          <w:tab w:val="left" w:pos="540"/>
        </w:tabs>
        <w:kinsoku w:val="0"/>
        <w:overflowPunct w:val="0"/>
        <w:autoSpaceDE/>
        <w:autoSpaceDN/>
        <w:adjustRightInd/>
        <w:spacing w:before="360" w:after="120"/>
        <w:jc w:val="center"/>
        <w:textAlignment w:val="baseline"/>
        <w:rPr>
          <w:b/>
          <w:bCs/>
          <w:sz w:val="24"/>
          <w:szCs w:val="24"/>
        </w:rPr>
      </w:pPr>
      <w:r w:rsidRPr="00A8127C">
        <w:rPr>
          <w:b/>
          <w:bCs/>
          <w:sz w:val="24"/>
          <w:szCs w:val="24"/>
        </w:rPr>
        <w:lastRenderedPageBreak/>
        <w:t>II.</w:t>
      </w:r>
      <w:r w:rsidRPr="00A8127C">
        <w:rPr>
          <w:b/>
          <w:bCs/>
          <w:sz w:val="24"/>
          <w:szCs w:val="24"/>
        </w:rPr>
        <w:tab/>
        <w:t>Conclusions of Law</w:t>
      </w:r>
    </w:p>
    <w:p w14:paraId="666A3335" w14:textId="77777777" w:rsidR="009F2284" w:rsidRPr="00A8127C" w:rsidRDefault="00AF041B" w:rsidP="009779DD">
      <w:pPr>
        <w:numPr>
          <w:ilvl w:val="0"/>
          <w:numId w:val="6"/>
        </w:numPr>
        <w:kinsoku w:val="0"/>
        <w:overflowPunct w:val="0"/>
        <w:autoSpaceDE/>
        <w:autoSpaceDN/>
        <w:adjustRightInd/>
        <w:spacing w:before="120" w:line="360" w:lineRule="auto"/>
        <w:ind w:right="72"/>
        <w:jc w:val="both"/>
        <w:textAlignment w:val="baseline"/>
        <w:rPr>
          <w:sz w:val="24"/>
          <w:szCs w:val="24"/>
        </w:rPr>
      </w:pPr>
      <w:r w:rsidRPr="00A8127C">
        <w:rPr>
          <w:bCs/>
          <w:sz w:val="24"/>
          <w:szCs w:val="24"/>
        </w:rPr>
        <w:t xml:space="preserve">ETI </w:t>
      </w:r>
      <w:r>
        <w:rPr>
          <w:sz w:val="24"/>
          <w:szCs w:val="24"/>
        </w:rPr>
        <w:t>is an electric utility</w:t>
      </w:r>
      <w:r w:rsidRPr="00A8127C">
        <w:rPr>
          <w:sz w:val="24"/>
          <w:szCs w:val="24"/>
        </w:rPr>
        <w:t xml:space="preserve"> as that term is defined in </w:t>
      </w:r>
      <w:r>
        <w:rPr>
          <w:sz w:val="24"/>
          <w:szCs w:val="24"/>
        </w:rPr>
        <w:t>PURA</w:t>
      </w:r>
      <w:r>
        <w:rPr>
          <w:rStyle w:val="FootnoteReference"/>
          <w:sz w:val="24"/>
          <w:szCs w:val="24"/>
        </w:rPr>
        <w:footnoteReference w:id="3"/>
      </w:r>
      <w:r w:rsidRPr="00A8127C">
        <w:rPr>
          <w:sz w:val="24"/>
          <w:szCs w:val="24"/>
        </w:rPr>
        <w:t xml:space="preserve"> § 31.002(6).</w:t>
      </w:r>
    </w:p>
    <w:p w14:paraId="133B57A4" w14:textId="77777777" w:rsidR="009F2284" w:rsidRPr="00A8127C" w:rsidRDefault="00AF041B" w:rsidP="00DD3BB6">
      <w:pPr>
        <w:numPr>
          <w:ilvl w:val="0"/>
          <w:numId w:val="6"/>
        </w:numPr>
        <w:kinsoku w:val="0"/>
        <w:overflowPunct w:val="0"/>
        <w:autoSpaceDE/>
        <w:autoSpaceDN/>
        <w:adjustRightInd/>
        <w:spacing w:before="120" w:line="360" w:lineRule="auto"/>
        <w:ind w:right="72"/>
        <w:jc w:val="both"/>
        <w:textAlignment w:val="baseline"/>
        <w:rPr>
          <w:sz w:val="24"/>
          <w:szCs w:val="24"/>
        </w:rPr>
      </w:pPr>
      <w:r w:rsidRPr="00A8127C">
        <w:rPr>
          <w:sz w:val="24"/>
          <w:szCs w:val="24"/>
        </w:rPr>
        <w:t xml:space="preserve">The Commission has jurisdiction over this matter under PURA §§ </w:t>
      </w:r>
      <w:r>
        <w:rPr>
          <w:sz w:val="24"/>
          <w:szCs w:val="24"/>
        </w:rPr>
        <w:t xml:space="preserve">39.003 and 39.307, </w:t>
      </w:r>
      <w:r w:rsidRPr="00A8127C">
        <w:rPr>
          <w:sz w:val="24"/>
          <w:szCs w:val="24"/>
        </w:rPr>
        <w:t xml:space="preserve">and the </w:t>
      </w:r>
      <w:r>
        <w:rPr>
          <w:sz w:val="24"/>
          <w:szCs w:val="24"/>
        </w:rPr>
        <w:t>f</w:t>
      </w:r>
      <w:r w:rsidRPr="00A8127C">
        <w:rPr>
          <w:sz w:val="24"/>
          <w:szCs w:val="24"/>
        </w:rPr>
        <w:t xml:space="preserve">inancing </w:t>
      </w:r>
      <w:r>
        <w:rPr>
          <w:sz w:val="24"/>
          <w:szCs w:val="24"/>
        </w:rPr>
        <w:t>o</w:t>
      </w:r>
      <w:r w:rsidRPr="00A8127C">
        <w:rPr>
          <w:sz w:val="24"/>
          <w:szCs w:val="24"/>
        </w:rPr>
        <w:t>rder in Docket No. 37247.</w:t>
      </w:r>
    </w:p>
    <w:p w14:paraId="669DEAD2" w14:textId="77777777" w:rsidR="00D35B24" w:rsidRPr="00A8127C" w:rsidRDefault="00AF041B" w:rsidP="00D35B24">
      <w:pPr>
        <w:numPr>
          <w:ilvl w:val="0"/>
          <w:numId w:val="6"/>
        </w:numPr>
        <w:kinsoku w:val="0"/>
        <w:overflowPunct w:val="0"/>
        <w:autoSpaceDE/>
        <w:autoSpaceDN/>
        <w:adjustRightInd/>
        <w:spacing w:before="120" w:line="360" w:lineRule="auto"/>
        <w:ind w:right="72"/>
        <w:jc w:val="both"/>
        <w:textAlignment w:val="baseline"/>
        <w:rPr>
          <w:sz w:val="24"/>
          <w:szCs w:val="24"/>
        </w:rPr>
      </w:pPr>
      <w:r>
        <w:rPr>
          <w:sz w:val="24"/>
          <w:szCs w:val="24"/>
        </w:rPr>
        <w:t>The Commission processed the application</w:t>
      </w:r>
      <w:r w:rsidRPr="00A8127C">
        <w:rPr>
          <w:sz w:val="24"/>
          <w:szCs w:val="24"/>
        </w:rPr>
        <w:t xml:space="preserve"> in accordance with the requirements of PURA and the Administrative Procedure Act.</w:t>
      </w:r>
      <w:r>
        <w:rPr>
          <w:rStyle w:val="FootnoteReference"/>
          <w:sz w:val="24"/>
          <w:szCs w:val="24"/>
        </w:rPr>
        <w:footnoteReference w:id="4"/>
      </w:r>
    </w:p>
    <w:p w14:paraId="534655A0" w14:textId="77777777" w:rsidR="009F2284" w:rsidRPr="00A8127C" w:rsidRDefault="00AF041B" w:rsidP="00DD3BB6">
      <w:pPr>
        <w:numPr>
          <w:ilvl w:val="0"/>
          <w:numId w:val="6"/>
        </w:numPr>
        <w:kinsoku w:val="0"/>
        <w:overflowPunct w:val="0"/>
        <w:autoSpaceDE/>
        <w:autoSpaceDN/>
        <w:adjustRightInd/>
        <w:spacing w:before="120" w:line="360" w:lineRule="auto"/>
        <w:ind w:right="72"/>
        <w:jc w:val="both"/>
        <w:textAlignment w:val="baseline"/>
        <w:rPr>
          <w:sz w:val="24"/>
          <w:szCs w:val="24"/>
        </w:rPr>
      </w:pPr>
      <w:r w:rsidRPr="00A8127C">
        <w:rPr>
          <w:sz w:val="24"/>
          <w:szCs w:val="24"/>
        </w:rPr>
        <w:t>ETI provided adequate notice of this proceeding in accordance with 16 Texas Administrative Code (TAC) § 22.55.</w:t>
      </w:r>
    </w:p>
    <w:p w14:paraId="4C4FC513" w14:textId="77777777" w:rsidR="009F2284" w:rsidRDefault="00AF041B" w:rsidP="00DD3BB6">
      <w:pPr>
        <w:numPr>
          <w:ilvl w:val="0"/>
          <w:numId w:val="6"/>
        </w:numPr>
        <w:kinsoku w:val="0"/>
        <w:overflowPunct w:val="0"/>
        <w:autoSpaceDE/>
        <w:autoSpaceDN/>
        <w:adjustRightInd/>
        <w:spacing w:before="120" w:line="360" w:lineRule="auto"/>
        <w:ind w:right="72"/>
        <w:jc w:val="both"/>
        <w:textAlignment w:val="baseline"/>
        <w:rPr>
          <w:sz w:val="24"/>
          <w:szCs w:val="24"/>
        </w:rPr>
      </w:pPr>
      <w:r w:rsidRPr="00A8127C">
        <w:rPr>
          <w:sz w:val="24"/>
          <w:szCs w:val="24"/>
        </w:rPr>
        <w:t>The requirements for informal disposition in 16 TAC § 22.35 have been met in this proceeding.</w:t>
      </w:r>
    </w:p>
    <w:p w14:paraId="2B483D99" w14:textId="77777777" w:rsidR="009F2284" w:rsidRPr="00A8127C" w:rsidRDefault="00AF041B" w:rsidP="008247AC">
      <w:pPr>
        <w:tabs>
          <w:tab w:val="left" w:pos="540"/>
        </w:tabs>
        <w:kinsoku w:val="0"/>
        <w:overflowPunct w:val="0"/>
        <w:autoSpaceDE/>
        <w:autoSpaceDN/>
        <w:adjustRightInd/>
        <w:spacing w:before="360" w:after="120"/>
        <w:jc w:val="center"/>
        <w:textAlignment w:val="baseline"/>
        <w:rPr>
          <w:b/>
          <w:bCs/>
          <w:sz w:val="24"/>
          <w:szCs w:val="24"/>
        </w:rPr>
      </w:pPr>
      <w:r w:rsidRPr="00A8127C">
        <w:rPr>
          <w:b/>
          <w:bCs/>
          <w:sz w:val="24"/>
          <w:szCs w:val="24"/>
        </w:rPr>
        <w:t>III.</w:t>
      </w:r>
      <w:r w:rsidRPr="00A8127C">
        <w:rPr>
          <w:b/>
          <w:bCs/>
          <w:sz w:val="24"/>
          <w:szCs w:val="24"/>
        </w:rPr>
        <w:tab/>
        <w:t>Ordering Paragraphs</w:t>
      </w:r>
    </w:p>
    <w:p w14:paraId="0D6FEC4E" w14:textId="77777777" w:rsidR="009F2284" w:rsidRPr="00A8127C" w:rsidRDefault="00AF041B" w:rsidP="00D35B24">
      <w:pPr>
        <w:kinsoku w:val="0"/>
        <w:overflowPunct w:val="0"/>
        <w:autoSpaceDE/>
        <w:autoSpaceDN/>
        <w:adjustRightInd/>
        <w:spacing w:before="120" w:line="360" w:lineRule="auto"/>
        <w:ind w:firstLine="720"/>
        <w:jc w:val="both"/>
        <w:textAlignment w:val="baseline"/>
        <w:rPr>
          <w:sz w:val="24"/>
          <w:szCs w:val="24"/>
        </w:rPr>
      </w:pPr>
      <w:r w:rsidRPr="00A8127C">
        <w:rPr>
          <w:sz w:val="24"/>
          <w:szCs w:val="24"/>
        </w:rPr>
        <w:t>In accordance with these findings of fact and conclusions of law, the Commission issues the following orders:</w:t>
      </w:r>
    </w:p>
    <w:p w14:paraId="19C91806" w14:textId="77777777" w:rsidR="009F2284" w:rsidRPr="00A8127C" w:rsidRDefault="00AF041B" w:rsidP="00DD3BB6">
      <w:pPr>
        <w:numPr>
          <w:ilvl w:val="0"/>
          <w:numId w:val="7"/>
        </w:numPr>
        <w:kinsoku w:val="0"/>
        <w:overflowPunct w:val="0"/>
        <w:autoSpaceDE/>
        <w:autoSpaceDN/>
        <w:adjustRightInd/>
        <w:spacing w:before="120" w:line="360" w:lineRule="auto"/>
        <w:jc w:val="both"/>
        <w:textAlignment w:val="baseline"/>
        <w:rPr>
          <w:sz w:val="24"/>
          <w:szCs w:val="24"/>
        </w:rPr>
      </w:pPr>
      <w:r w:rsidRPr="00A8127C">
        <w:rPr>
          <w:sz w:val="24"/>
          <w:szCs w:val="24"/>
        </w:rPr>
        <w:t>The Commission approves Sch</w:t>
      </w:r>
      <w:r>
        <w:rPr>
          <w:sz w:val="24"/>
          <w:szCs w:val="24"/>
        </w:rPr>
        <w:t>edule SRC</w:t>
      </w:r>
      <w:r w:rsidRPr="00A8127C">
        <w:rPr>
          <w:sz w:val="24"/>
          <w:szCs w:val="24"/>
        </w:rPr>
        <w:t xml:space="preserve"> – Attachment A, Initial or Adjusted </w:t>
      </w:r>
      <w:r>
        <w:rPr>
          <w:sz w:val="24"/>
          <w:szCs w:val="24"/>
        </w:rPr>
        <w:t xml:space="preserve">System Restoration Costs Rates </w:t>
      </w:r>
      <w:r w:rsidRPr="00A8127C">
        <w:rPr>
          <w:sz w:val="24"/>
          <w:szCs w:val="24"/>
        </w:rPr>
        <w:t>(</w:t>
      </w:r>
      <w:r>
        <w:rPr>
          <w:sz w:val="24"/>
          <w:szCs w:val="24"/>
        </w:rPr>
        <w:t>Exhibit 1</w:t>
      </w:r>
      <w:r w:rsidRPr="00A8127C">
        <w:rPr>
          <w:sz w:val="24"/>
          <w:szCs w:val="24"/>
        </w:rPr>
        <w:t xml:space="preserve"> to this Order) effective beginning with bills rendered o</w:t>
      </w:r>
      <w:r>
        <w:rPr>
          <w:sz w:val="24"/>
          <w:szCs w:val="24"/>
        </w:rPr>
        <w:t>n or after October 30, 2019</w:t>
      </w:r>
      <w:r w:rsidRPr="00A8127C">
        <w:rPr>
          <w:sz w:val="24"/>
          <w:szCs w:val="24"/>
        </w:rPr>
        <w:t>.</w:t>
      </w:r>
    </w:p>
    <w:p w14:paraId="52AB4DAF" w14:textId="77777777" w:rsidR="009F2284" w:rsidRPr="00A8127C" w:rsidRDefault="00AF041B" w:rsidP="00DD3BB6">
      <w:pPr>
        <w:numPr>
          <w:ilvl w:val="0"/>
          <w:numId w:val="7"/>
        </w:numPr>
        <w:kinsoku w:val="0"/>
        <w:overflowPunct w:val="0"/>
        <w:autoSpaceDE/>
        <w:autoSpaceDN/>
        <w:adjustRightInd/>
        <w:spacing w:before="120" w:line="360" w:lineRule="auto"/>
        <w:jc w:val="both"/>
        <w:textAlignment w:val="baseline"/>
        <w:rPr>
          <w:sz w:val="24"/>
          <w:szCs w:val="24"/>
        </w:rPr>
      </w:pPr>
      <w:r w:rsidRPr="00A8127C">
        <w:rPr>
          <w:sz w:val="24"/>
          <w:szCs w:val="24"/>
        </w:rPr>
        <w:t>Within 10 days of this Order, ETI shall file a c</w:t>
      </w:r>
      <w:r>
        <w:rPr>
          <w:sz w:val="24"/>
          <w:szCs w:val="24"/>
        </w:rPr>
        <w:t>lean record copy of Schedule SRC</w:t>
      </w:r>
      <w:r w:rsidRPr="00A8127C">
        <w:rPr>
          <w:sz w:val="24"/>
          <w:szCs w:val="24"/>
        </w:rPr>
        <w:t xml:space="preserve"> </w:t>
      </w:r>
      <w:r>
        <w:rPr>
          <w:sz w:val="24"/>
          <w:szCs w:val="24"/>
        </w:rPr>
        <w:t>for Central Records to</w:t>
      </w:r>
      <w:r w:rsidRPr="00A8127C">
        <w:rPr>
          <w:sz w:val="24"/>
          <w:szCs w:val="24"/>
        </w:rPr>
        <w:t xml:space="preserve"> stamp </w:t>
      </w:r>
      <w:r w:rsidRPr="002D40EE">
        <w:rPr>
          <w:i/>
          <w:sz w:val="24"/>
          <w:szCs w:val="24"/>
        </w:rPr>
        <w:t>Approved</w:t>
      </w:r>
      <w:r w:rsidRPr="00A8127C">
        <w:rPr>
          <w:sz w:val="24"/>
          <w:szCs w:val="24"/>
        </w:rPr>
        <w:t xml:space="preserve"> and retain for future reference.</w:t>
      </w:r>
    </w:p>
    <w:p w14:paraId="10D01290" w14:textId="77777777" w:rsidR="009F2284" w:rsidRPr="00A8127C" w:rsidRDefault="00AF041B" w:rsidP="00DD3BB6">
      <w:pPr>
        <w:numPr>
          <w:ilvl w:val="0"/>
          <w:numId w:val="7"/>
        </w:numPr>
        <w:kinsoku w:val="0"/>
        <w:overflowPunct w:val="0"/>
        <w:autoSpaceDE/>
        <w:autoSpaceDN/>
        <w:adjustRightInd/>
        <w:spacing w:before="120" w:line="360" w:lineRule="auto"/>
        <w:jc w:val="both"/>
        <w:textAlignment w:val="baseline"/>
        <w:rPr>
          <w:sz w:val="24"/>
          <w:szCs w:val="24"/>
        </w:rPr>
      </w:pPr>
      <w:r w:rsidRPr="00A8127C">
        <w:rPr>
          <w:sz w:val="24"/>
          <w:szCs w:val="24"/>
        </w:rPr>
        <w:t>The Commission denies all other motions, requests for entry of specific findings of fact and conclusions of law, and any other requests for general or specific relief, if not expressly granted.</w:t>
      </w:r>
    </w:p>
    <w:p w14:paraId="1964C594" w14:textId="77777777" w:rsidR="00DD3BB6" w:rsidRDefault="00B33081" w:rsidP="00C90839">
      <w:pPr>
        <w:ind w:firstLine="720"/>
        <w:rPr>
          <w:b/>
          <w:sz w:val="24"/>
          <w:szCs w:val="24"/>
        </w:rPr>
      </w:pPr>
    </w:p>
    <w:p w14:paraId="49FC7922" w14:textId="77777777" w:rsidR="00E07D80" w:rsidRDefault="00B33081" w:rsidP="00C90839">
      <w:pPr>
        <w:ind w:firstLine="720"/>
        <w:rPr>
          <w:b/>
          <w:sz w:val="24"/>
          <w:szCs w:val="24"/>
        </w:rPr>
      </w:pPr>
    </w:p>
    <w:p w14:paraId="75BFFA4B" w14:textId="77777777" w:rsidR="00E07D80" w:rsidRDefault="00B33081" w:rsidP="00C90839">
      <w:pPr>
        <w:ind w:firstLine="720"/>
        <w:rPr>
          <w:b/>
          <w:sz w:val="24"/>
          <w:szCs w:val="24"/>
        </w:rPr>
      </w:pPr>
    </w:p>
    <w:p w14:paraId="60F2137E" w14:textId="77777777" w:rsidR="00E07D80" w:rsidRDefault="00B33081" w:rsidP="00C90839">
      <w:pPr>
        <w:ind w:firstLine="720"/>
        <w:rPr>
          <w:b/>
          <w:sz w:val="24"/>
          <w:szCs w:val="24"/>
        </w:rPr>
      </w:pPr>
    </w:p>
    <w:p w14:paraId="41E2B98A" w14:textId="77777777" w:rsidR="00E07D80" w:rsidRDefault="00B33081" w:rsidP="00C90839">
      <w:pPr>
        <w:ind w:firstLine="720"/>
        <w:rPr>
          <w:b/>
          <w:sz w:val="24"/>
          <w:szCs w:val="24"/>
        </w:rPr>
      </w:pPr>
    </w:p>
    <w:p w14:paraId="31F4CB22" w14:textId="77777777" w:rsidR="006B4263" w:rsidRDefault="00B33081" w:rsidP="00C90839">
      <w:pPr>
        <w:ind w:firstLine="720"/>
        <w:rPr>
          <w:b/>
          <w:sz w:val="24"/>
          <w:szCs w:val="24"/>
        </w:rPr>
      </w:pPr>
    </w:p>
    <w:p w14:paraId="1721B5B0" w14:textId="77777777" w:rsidR="00E07D80" w:rsidRPr="00A8127C" w:rsidRDefault="00B33081" w:rsidP="00C90839">
      <w:pPr>
        <w:ind w:firstLine="720"/>
        <w:rPr>
          <w:b/>
          <w:sz w:val="24"/>
          <w:szCs w:val="24"/>
        </w:rPr>
      </w:pPr>
    </w:p>
    <w:p w14:paraId="0343EEB8" w14:textId="77777777" w:rsidR="00DD3BB6" w:rsidRPr="00A8127C" w:rsidRDefault="00AF041B" w:rsidP="00C90839">
      <w:pPr>
        <w:ind w:firstLine="720"/>
        <w:rPr>
          <w:sz w:val="24"/>
          <w:szCs w:val="24"/>
        </w:rPr>
      </w:pPr>
      <w:r w:rsidRPr="00A8127C">
        <w:rPr>
          <w:b/>
          <w:sz w:val="24"/>
          <w:szCs w:val="24"/>
        </w:rPr>
        <w:lastRenderedPageBreak/>
        <w:t xml:space="preserve">Signed at Austin, Texas the </w:t>
      </w:r>
      <w:r w:rsidRPr="00A8127C">
        <w:rPr>
          <w:sz w:val="24"/>
          <w:szCs w:val="24"/>
        </w:rPr>
        <w:t xml:space="preserve">______ </w:t>
      </w:r>
      <w:r w:rsidRPr="00A8127C">
        <w:rPr>
          <w:b/>
          <w:sz w:val="24"/>
          <w:szCs w:val="24"/>
        </w:rPr>
        <w:t xml:space="preserve">day of </w:t>
      </w:r>
      <w:r>
        <w:rPr>
          <w:b/>
          <w:sz w:val="24"/>
          <w:szCs w:val="24"/>
        </w:rPr>
        <w:t>_______________2019</w:t>
      </w:r>
      <w:r w:rsidRPr="00A8127C">
        <w:rPr>
          <w:b/>
          <w:sz w:val="24"/>
          <w:szCs w:val="24"/>
        </w:rPr>
        <w:t>.</w:t>
      </w:r>
    </w:p>
    <w:p w14:paraId="6029AAC9" w14:textId="77777777" w:rsidR="00DD3BB6" w:rsidRPr="00A8127C" w:rsidRDefault="00B33081" w:rsidP="00C90839">
      <w:pPr>
        <w:ind w:left="3600" w:firstLine="86"/>
        <w:rPr>
          <w:b/>
          <w:sz w:val="24"/>
          <w:szCs w:val="24"/>
        </w:rPr>
      </w:pPr>
    </w:p>
    <w:p w14:paraId="3989C5BA" w14:textId="77777777" w:rsidR="00DD3BB6" w:rsidRPr="00A8127C" w:rsidRDefault="00AF041B" w:rsidP="00C90839">
      <w:pPr>
        <w:ind w:left="3600" w:firstLine="86"/>
        <w:rPr>
          <w:b/>
          <w:sz w:val="24"/>
          <w:szCs w:val="24"/>
        </w:rPr>
      </w:pPr>
      <w:r w:rsidRPr="00A8127C">
        <w:rPr>
          <w:b/>
          <w:sz w:val="24"/>
          <w:szCs w:val="24"/>
        </w:rPr>
        <w:t>PUBLIC UTILITY COMMISSION OF TEXAS</w:t>
      </w:r>
    </w:p>
    <w:p w14:paraId="75733FD7" w14:textId="77777777" w:rsidR="00DD3BB6" w:rsidRPr="00A8127C" w:rsidRDefault="00B33081" w:rsidP="00C90839">
      <w:pPr>
        <w:ind w:left="3600" w:firstLine="90"/>
        <w:rPr>
          <w:b/>
          <w:sz w:val="24"/>
          <w:szCs w:val="24"/>
        </w:rPr>
      </w:pPr>
    </w:p>
    <w:p w14:paraId="6165220D" w14:textId="77777777" w:rsidR="00DD3BB6" w:rsidRPr="00A8127C" w:rsidRDefault="00B33081" w:rsidP="00C90839">
      <w:pPr>
        <w:ind w:left="3600" w:firstLine="90"/>
        <w:rPr>
          <w:b/>
          <w:sz w:val="24"/>
          <w:szCs w:val="24"/>
        </w:rPr>
      </w:pPr>
    </w:p>
    <w:p w14:paraId="7FD82BCE" w14:textId="77777777" w:rsidR="00DD3BB6" w:rsidRPr="00A8127C" w:rsidRDefault="00B33081" w:rsidP="00C90839">
      <w:pPr>
        <w:ind w:left="3600" w:firstLine="90"/>
        <w:rPr>
          <w:b/>
          <w:sz w:val="24"/>
          <w:szCs w:val="24"/>
        </w:rPr>
      </w:pPr>
    </w:p>
    <w:p w14:paraId="23156AEF" w14:textId="77777777" w:rsidR="00DD3BB6" w:rsidRPr="00A8127C" w:rsidRDefault="00AF041B" w:rsidP="00C90839">
      <w:pPr>
        <w:keepNext/>
        <w:tabs>
          <w:tab w:val="left" w:pos="3690"/>
          <w:tab w:val="left" w:pos="8370"/>
        </w:tabs>
        <w:rPr>
          <w:sz w:val="24"/>
          <w:szCs w:val="24"/>
        </w:rPr>
      </w:pPr>
      <w:r w:rsidRPr="00A8127C">
        <w:rPr>
          <w:b/>
          <w:sz w:val="24"/>
          <w:szCs w:val="24"/>
        </w:rPr>
        <w:tab/>
      </w:r>
      <w:r w:rsidRPr="00A8127C">
        <w:rPr>
          <w:b/>
          <w:sz w:val="24"/>
          <w:szCs w:val="24"/>
          <w:u w:val="single"/>
        </w:rPr>
        <w:tab/>
      </w:r>
      <w:r w:rsidRPr="00A8127C">
        <w:rPr>
          <w:b/>
          <w:sz w:val="24"/>
          <w:szCs w:val="24"/>
          <w:u w:val="single"/>
        </w:rPr>
        <w:tab/>
      </w:r>
      <w:r w:rsidRPr="00A8127C">
        <w:rPr>
          <w:b/>
          <w:sz w:val="24"/>
          <w:szCs w:val="24"/>
          <w:u w:val="single"/>
        </w:rPr>
        <w:tab/>
      </w:r>
    </w:p>
    <w:p w14:paraId="07B41849" w14:textId="77777777" w:rsidR="00DD3BB6" w:rsidRPr="00A8127C" w:rsidRDefault="00AF041B" w:rsidP="00C90839">
      <w:pPr>
        <w:keepNext/>
        <w:tabs>
          <w:tab w:val="left" w:pos="3690"/>
          <w:tab w:val="left" w:pos="8640"/>
        </w:tabs>
        <w:rPr>
          <w:b/>
          <w:sz w:val="24"/>
          <w:szCs w:val="24"/>
        </w:rPr>
      </w:pPr>
      <w:r w:rsidRPr="00A8127C">
        <w:rPr>
          <w:b/>
          <w:sz w:val="24"/>
          <w:szCs w:val="24"/>
        </w:rPr>
        <w:tab/>
        <w:t>DEANN T. WALKER, CHAIRMAN</w:t>
      </w:r>
    </w:p>
    <w:p w14:paraId="23146A9C" w14:textId="77777777" w:rsidR="00DD3BB6" w:rsidRPr="00A8127C" w:rsidRDefault="00B33081" w:rsidP="00C90839">
      <w:pPr>
        <w:keepNext/>
        <w:tabs>
          <w:tab w:val="left" w:pos="2880"/>
          <w:tab w:val="left" w:pos="8640"/>
        </w:tabs>
        <w:rPr>
          <w:b/>
          <w:sz w:val="24"/>
          <w:szCs w:val="24"/>
        </w:rPr>
      </w:pPr>
    </w:p>
    <w:p w14:paraId="614A9E17" w14:textId="77777777" w:rsidR="00DD3BB6" w:rsidRPr="00A8127C" w:rsidRDefault="00B33081" w:rsidP="00C90839">
      <w:pPr>
        <w:keepNext/>
        <w:tabs>
          <w:tab w:val="left" w:pos="2880"/>
          <w:tab w:val="left" w:pos="8640"/>
        </w:tabs>
        <w:rPr>
          <w:b/>
          <w:sz w:val="24"/>
          <w:szCs w:val="24"/>
        </w:rPr>
      </w:pPr>
    </w:p>
    <w:p w14:paraId="069FB3C6" w14:textId="77777777" w:rsidR="00DD3BB6" w:rsidRPr="00A8127C" w:rsidRDefault="00B33081" w:rsidP="00C90839">
      <w:pPr>
        <w:keepNext/>
        <w:tabs>
          <w:tab w:val="left" w:pos="2880"/>
          <w:tab w:val="left" w:pos="8640"/>
        </w:tabs>
        <w:rPr>
          <w:b/>
          <w:sz w:val="24"/>
          <w:szCs w:val="24"/>
        </w:rPr>
      </w:pPr>
    </w:p>
    <w:p w14:paraId="37C0571F" w14:textId="77777777" w:rsidR="00DD3BB6" w:rsidRPr="00A8127C" w:rsidRDefault="00AF041B" w:rsidP="00C90839">
      <w:pPr>
        <w:keepNext/>
        <w:tabs>
          <w:tab w:val="left" w:pos="3690"/>
          <w:tab w:val="left" w:pos="8370"/>
        </w:tabs>
        <w:rPr>
          <w:sz w:val="24"/>
          <w:szCs w:val="24"/>
        </w:rPr>
      </w:pPr>
      <w:r w:rsidRPr="00A8127C">
        <w:rPr>
          <w:b/>
          <w:sz w:val="24"/>
          <w:szCs w:val="24"/>
        </w:rPr>
        <w:tab/>
      </w:r>
      <w:r w:rsidRPr="00A8127C">
        <w:rPr>
          <w:b/>
          <w:sz w:val="24"/>
          <w:szCs w:val="24"/>
          <w:u w:val="single"/>
        </w:rPr>
        <w:tab/>
      </w:r>
      <w:r w:rsidRPr="00A8127C">
        <w:rPr>
          <w:sz w:val="24"/>
          <w:szCs w:val="24"/>
          <w:u w:val="single"/>
        </w:rPr>
        <w:tab/>
      </w:r>
      <w:r w:rsidRPr="00A8127C">
        <w:rPr>
          <w:sz w:val="24"/>
          <w:szCs w:val="24"/>
          <w:u w:val="single"/>
        </w:rPr>
        <w:tab/>
      </w:r>
    </w:p>
    <w:p w14:paraId="68DB0FD5" w14:textId="77777777" w:rsidR="00DD3BB6" w:rsidRPr="00A8127C" w:rsidRDefault="00AF041B" w:rsidP="00C90839">
      <w:pPr>
        <w:keepNext/>
        <w:tabs>
          <w:tab w:val="left" w:pos="3690"/>
          <w:tab w:val="left" w:pos="8640"/>
        </w:tabs>
        <w:rPr>
          <w:b/>
          <w:sz w:val="24"/>
          <w:szCs w:val="24"/>
        </w:rPr>
      </w:pPr>
      <w:r w:rsidRPr="00A8127C">
        <w:rPr>
          <w:b/>
          <w:sz w:val="24"/>
          <w:szCs w:val="24"/>
        </w:rPr>
        <w:tab/>
        <w:t>ARTHUR C. D’ANDREA, COMMISSIONER</w:t>
      </w:r>
    </w:p>
    <w:p w14:paraId="36FB5AD6" w14:textId="77777777" w:rsidR="00DD3BB6" w:rsidRPr="00A8127C" w:rsidRDefault="00B33081" w:rsidP="00575F9C">
      <w:pPr>
        <w:keepNext/>
        <w:tabs>
          <w:tab w:val="left" w:pos="2880"/>
          <w:tab w:val="left" w:pos="8640"/>
        </w:tabs>
        <w:rPr>
          <w:b/>
          <w:sz w:val="24"/>
          <w:szCs w:val="24"/>
        </w:rPr>
      </w:pPr>
    </w:p>
    <w:p w14:paraId="63D89244" w14:textId="77777777" w:rsidR="00DD3BB6" w:rsidRPr="00A8127C" w:rsidRDefault="00B33081" w:rsidP="00575F9C">
      <w:pPr>
        <w:keepNext/>
        <w:tabs>
          <w:tab w:val="left" w:pos="2880"/>
          <w:tab w:val="left" w:pos="8640"/>
        </w:tabs>
        <w:rPr>
          <w:b/>
          <w:sz w:val="24"/>
          <w:szCs w:val="24"/>
        </w:rPr>
      </w:pPr>
    </w:p>
    <w:p w14:paraId="06702255" w14:textId="77777777" w:rsidR="00DD3BB6" w:rsidRPr="00A8127C" w:rsidRDefault="00B33081" w:rsidP="00575F9C">
      <w:pPr>
        <w:keepNext/>
        <w:tabs>
          <w:tab w:val="left" w:pos="2880"/>
          <w:tab w:val="left" w:pos="8640"/>
        </w:tabs>
        <w:rPr>
          <w:b/>
          <w:sz w:val="24"/>
          <w:szCs w:val="24"/>
        </w:rPr>
      </w:pPr>
    </w:p>
    <w:p w14:paraId="16E1D260" w14:textId="77777777" w:rsidR="00DD3BB6" w:rsidRPr="00A8127C" w:rsidRDefault="00AF041B" w:rsidP="00575F9C">
      <w:pPr>
        <w:keepNext/>
        <w:tabs>
          <w:tab w:val="left" w:pos="3690"/>
          <w:tab w:val="left" w:pos="8370"/>
        </w:tabs>
        <w:rPr>
          <w:sz w:val="24"/>
          <w:szCs w:val="24"/>
        </w:rPr>
      </w:pPr>
      <w:r w:rsidRPr="00A8127C">
        <w:rPr>
          <w:b/>
          <w:sz w:val="24"/>
          <w:szCs w:val="24"/>
        </w:rPr>
        <w:tab/>
      </w:r>
      <w:r w:rsidRPr="00A8127C">
        <w:rPr>
          <w:b/>
          <w:sz w:val="24"/>
          <w:szCs w:val="24"/>
          <w:u w:val="single"/>
        </w:rPr>
        <w:tab/>
      </w:r>
      <w:r w:rsidRPr="00A8127C">
        <w:rPr>
          <w:sz w:val="24"/>
          <w:szCs w:val="24"/>
          <w:u w:val="single"/>
        </w:rPr>
        <w:tab/>
      </w:r>
      <w:r w:rsidRPr="00A8127C">
        <w:rPr>
          <w:sz w:val="24"/>
          <w:szCs w:val="24"/>
          <w:u w:val="single"/>
        </w:rPr>
        <w:tab/>
      </w:r>
    </w:p>
    <w:p w14:paraId="705068E4" w14:textId="77777777" w:rsidR="00DD3BB6" w:rsidRPr="00A8127C" w:rsidRDefault="00AF041B" w:rsidP="00575F9C">
      <w:pPr>
        <w:keepNext/>
        <w:tabs>
          <w:tab w:val="left" w:pos="3690"/>
          <w:tab w:val="left" w:pos="8640"/>
        </w:tabs>
        <w:rPr>
          <w:b/>
          <w:sz w:val="24"/>
          <w:szCs w:val="24"/>
        </w:rPr>
      </w:pPr>
      <w:r w:rsidRPr="00A8127C">
        <w:rPr>
          <w:b/>
          <w:sz w:val="24"/>
          <w:szCs w:val="24"/>
        </w:rPr>
        <w:tab/>
        <w:t>SHELLY BOTKIN, COMMISSIONER</w:t>
      </w:r>
    </w:p>
    <w:sectPr w:rsidR="00DD3BB6" w:rsidRPr="00A8127C" w:rsidSect="00125629">
      <w:headerReference w:type="default" r:id="rId7"/>
      <w:pgSz w:w="12370" w:h="15840"/>
      <w:pgMar w:top="1440" w:right="1440" w:bottom="1440" w:left="1440"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F80284" w14:textId="77777777" w:rsidR="003A31A6" w:rsidRDefault="00AF041B">
      <w:r>
        <w:separator/>
      </w:r>
    </w:p>
  </w:endnote>
  <w:endnote w:type="continuationSeparator" w:id="0">
    <w:p w14:paraId="23D7F22F" w14:textId="77777777" w:rsidR="003A31A6" w:rsidRDefault="00AF0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3CD13" w14:textId="77777777" w:rsidR="00DD3BB6" w:rsidRDefault="00AF041B" w:rsidP="00DD3BB6">
      <w:r>
        <w:separator/>
      </w:r>
    </w:p>
  </w:footnote>
  <w:footnote w:type="continuationSeparator" w:id="0">
    <w:p w14:paraId="4497163D" w14:textId="77777777" w:rsidR="00DD3BB6" w:rsidRDefault="00AF041B" w:rsidP="00DD3BB6">
      <w:r>
        <w:continuationSeparator/>
      </w:r>
    </w:p>
  </w:footnote>
  <w:footnote w:id="1">
    <w:p w14:paraId="7439D8F8" w14:textId="77777777" w:rsidR="00DD3BB6" w:rsidRDefault="00AF041B" w:rsidP="00D35B24">
      <w:pPr>
        <w:pStyle w:val="FootnoteText"/>
        <w:spacing w:before="120"/>
        <w:ind w:firstLine="720"/>
        <w:jc w:val="both"/>
      </w:pPr>
      <w:r>
        <w:rPr>
          <w:rStyle w:val="FootnoteReference"/>
        </w:rPr>
        <w:footnoteRef/>
      </w:r>
      <w:r>
        <w:t xml:space="preserve"> </w:t>
      </w:r>
      <w:r w:rsidRPr="00F0214B">
        <w:rPr>
          <w:i/>
          <w:iCs/>
        </w:rPr>
        <w:t xml:space="preserve">Application of Entergy Texas, Inc. for a Financing Order, </w:t>
      </w:r>
      <w:r w:rsidRPr="00F0214B">
        <w:t>Docket No. 37247, Financing Order (Sept.</w:t>
      </w:r>
      <w:r>
        <w:t> </w:t>
      </w:r>
      <w:r w:rsidRPr="00F0214B">
        <w:t>11,</w:t>
      </w:r>
      <w:r>
        <w:t> </w:t>
      </w:r>
      <w:r w:rsidRPr="00F0214B">
        <w:t>2009).</w:t>
      </w:r>
    </w:p>
  </w:footnote>
  <w:footnote w:id="2">
    <w:p w14:paraId="6A4594CF" w14:textId="77777777" w:rsidR="00D35B24" w:rsidRDefault="00AF041B" w:rsidP="00743AB7">
      <w:pPr>
        <w:kinsoku w:val="0"/>
        <w:overflowPunct w:val="0"/>
        <w:autoSpaceDE/>
        <w:autoSpaceDN/>
        <w:adjustRightInd/>
        <w:spacing w:before="120"/>
        <w:ind w:left="72" w:firstLine="648"/>
        <w:jc w:val="both"/>
        <w:textAlignment w:val="baseline"/>
      </w:pPr>
      <w:r>
        <w:rPr>
          <w:rStyle w:val="FootnoteReference"/>
        </w:rPr>
        <w:footnoteRef/>
      </w:r>
      <w:r>
        <w:t xml:space="preserve"> </w:t>
      </w:r>
      <w:r w:rsidRPr="00F0214B">
        <w:rPr>
          <w:i/>
          <w:iCs/>
        </w:rPr>
        <w:t xml:space="preserve">Application of Entergy Texas, Inc. for Determination of 2008 System Restoration Costs, </w:t>
      </w:r>
      <w:r w:rsidRPr="00F0214B">
        <w:t>Docket No. 36931,</w:t>
      </w:r>
      <w:r w:rsidRPr="00853E65">
        <w:t xml:space="preserve"> </w:t>
      </w:r>
      <w:r w:rsidRPr="00F0214B">
        <w:t>Order (Aug. 18, 2009).</w:t>
      </w:r>
    </w:p>
  </w:footnote>
  <w:footnote w:id="3">
    <w:p w14:paraId="0A6AA6A3" w14:textId="77777777" w:rsidR="009C3C71" w:rsidRDefault="00AF041B" w:rsidP="009C3C71">
      <w:pPr>
        <w:pStyle w:val="FootnoteText"/>
        <w:spacing w:before="120"/>
        <w:ind w:firstLine="720"/>
        <w:jc w:val="both"/>
      </w:pPr>
      <w:r>
        <w:rPr>
          <w:rStyle w:val="FootnoteReference"/>
        </w:rPr>
        <w:footnoteRef/>
      </w:r>
      <w:r>
        <w:t xml:space="preserve"> </w:t>
      </w:r>
      <w:r w:rsidRPr="00F0214B">
        <w:t xml:space="preserve">Public Utility Regulatory Act, Tex. Util. Code </w:t>
      </w:r>
      <w:r>
        <w:t xml:space="preserve">Ann. </w:t>
      </w:r>
      <w:r w:rsidRPr="00F0214B">
        <w:t>§§ 11.001</w:t>
      </w:r>
      <w:r>
        <w:t>–</w:t>
      </w:r>
      <w:r w:rsidRPr="00F0214B">
        <w:t>58.302,</w:t>
      </w:r>
      <w:r>
        <w:t xml:space="preserve"> </w:t>
      </w:r>
      <w:r w:rsidRPr="00F0214B">
        <w:t>§§</w:t>
      </w:r>
      <w:r>
        <w:t> </w:t>
      </w:r>
      <w:r w:rsidRPr="00F0214B">
        <w:t>59.001</w:t>
      </w:r>
      <w:r>
        <w:t>–</w:t>
      </w:r>
      <w:r w:rsidRPr="00F0214B">
        <w:t>66.016 (PURA).</w:t>
      </w:r>
    </w:p>
  </w:footnote>
  <w:footnote w:id="4">
    <w:p w14:paraId="38878219" w14:textId="77777777" w:rsidR="00D35B24" w:rsidRDefault="00AF041B" w:rsidP="0082290E">
      <w:pPr>
        <w:spacing w:before="120"/>
        <w:ind w:firstLine="720"/>
        <w:jc w:val="both"/>
      </w:pPr>
      <w:r>
        <w:rPr>
          <w:rStyle w:val="FootnoteReference"/>
        </w:rPr>
        <w:footnoteRef/>
      </w:r>
      <w:r>
        <w:t xml:space="preserve"> Administrative Procedure Act, Tex. Gov’t Code Ann. §§ 2001.001–.902.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235C" w14:textId="77777777" w:rsidR="002D727F" w:rsidRPr="002D727F" w:rsidRDefault="00AF041B" w:rsidP="002D727F">
    <w:pPr>
      <w:pStyle w:val="Header"/>
      <w:tabs>
        <w:tab w:val="clear" w:pos="4680"/>
        <w:tab w:val="center" w:pos="4860"/>
      </w:tabs>
      <w:rPr>
        <w:b/>
        <w:sz w:val="22"/>
        <w:szCs w:val="22"/>
      </w:rPr>
    </w:pPr>
    <w:r w:rsidRPr="002D727F">
      <w:rPr>
        <w:b/>
        <w:sz w:val="22"/>
        <w:szCs w:val="22"/>
      </w:rPr>
      <w:t xml:space="preserve">Docket No. </w:t>
    </w:r>
    <w:r>
      <w:rPr>
        <w:b/>
        <w:sz w:val="22"/>
        <w:szCs w:val="22"/>
      </w:rPr>
      <w:t>49816</w:t>
    </w:r>
    <w:r w:rsidRPr="002D727F">
      <w:rPr>
        <w:b/>
        <w:sz w:val="22"/>
        <w:szCs w:val="22"/>
      </w:rPr>
      <w:tab/>
    </w:r>
    <w:r>
      <w:rPr>
        <w:b/>
        <w:sz w:val="22"/>
        <w:szCs w:val="22"/>
      </w:rPr>
      <w:t xml:space="preserve">Proposed </w:t>
    </w:r>
    <w:r w:rsidRPr="002D727F">
      <w:rPr>
        <w:b/>
        <w:sz w:val="22"/>
        <w:szCs w:val="22"/>
      </w:rPr>
      <w:t xml:space="preserve">Order </w:t>
    </w:r>
    <w:r w:rsidRPr="002D727F">
      <w:rPr>
        <w:b/>
        <w:sz w:val="22"/>
        <w:szCs w:val="22"/>
      </w:rPr>
      <w:tab/>
      <w:t xml:space="preserve">Page </w:t>
    </w:r>
    <w:r w:rsidRPr="002D727F">
      <w:rPr>
        <w:b/>
        <w:bCs/>
        <w:sz w:val="22"/>
        <w:szCs w:val="22"/>
      </w:rPr>
      <w:fldChar w:fldCharType="begin"/>
    </w:r>
    <w:r w:rsidRPr="002D727F">
      <w:rPr>
        <w:b/>
        <w:bCs/>
        <w:sz w:val="22"/>
        <w:szCs w:val="22"/>
      </w:rPr>
      <w:instrText xml:space="preserve"> PAGE  \* Arabic  \* MERGEFORMAT </w:instrText>
    </w:r>
    <w:r w:rsidRPr="002D727F">
      <w:rPr>
        <w:b/>
        <w:bCs/>
        <w:sz w:val="22"/>
        <w:szCs w:val="22"/>
      </w:rPr>
      <w:fldChar w:fldCharType="separate"/>
    </w:r>
    <w:r>
      <w:rPr>
        <w:b/>
        <w:bCs/>
        <w:noProof/>
        <w:sz w:val="22"/>
        <w:szCs w:val="22"/>
      </w:rPr>
      <w:t>4</w:t>
    </w:r>
    <w:r w:rsidRPr="002D727F">
      <w:rPr>
        <w:b/>
        <w:bCs/>
        <w:sz w:val="22"/>
        <w:szCs w:val="22"/>
      </w:rPr>
      <w:fldChar w:fldCharType="end"/>
    </w:r>
    <w:r w:rsidRPr="002D727F">
      <w:rPr>
        <w:b/>
        <w:sz w:val="22"/>
        <w:szCs w:val="22"/>
      </w:rPr>
      <w:t xml:space="preserve"> of </w:t>
    </w:r>
    <w:r>
      <w:rPr>
        <w:b/>
        <w:bCs/>
        <w:noProof/>
        <w:sz w:val="22"/>
        <w:szCs w:val="22"/>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11C9D"/>
    <w:multiLevelType w:val="singleLevel"/>
    <w:tmpl w:val="B31A953E"/>
    <w:lvl w:ilvl="0">
      <w:start w:val="1"/>
      <w:numFmt w:val="lowerLetter"/>
      <w:lvlText w:val="(%1)"/>
      <w:lvlJc w:val="left"/>
      <w:pPr>
        <w:tabs>
          <w:tab w:val="num" w:pos="1440"/>
        </w:tabs>
        <w:ind w:left="1440" w:hanging="720"/>
      </w:pPr>
      <w:rPr>
        <w:rFonts w:hint="default"/>
        <w:snapToGrid/>
        <w:sz w:val="23"/>
        <w:szCs w:val="23"/>
      </w:rPr>
    </w:lvl>
  </w:abstractNum>
  <w:abstractNum w:abstractNumId="1" w15:restartNumberingAfterBreak="0">
    <w:nsid w:val="00F592ED"/>
    <w:multiLevelType w:val="singleLevel"/>
    <w:tmpl w:val="491BC746"/>
    <w:lvl w:ilvl="0">
      <w:start w:val="1"/>
      <w:numFmt w:val="decimal"/>
      <w:lvlText w:val="%1."/>
      <w:lvlJc w:val="left"/>
      <w:pPr>
        <w:tabs>
          <w:tab w:val="num" w:pos="720"/>
        </w:tabs>
        <w:ind w:left="720" w:hanging="648"/>
      </w:pPr>
      <w:rPr>
        <w:b/>
        <w:bCs/>
        <w:snapToGrid/>
        <w:spacing w:val="12"/>
        <w:sz w:val="23"/>
        <w:szCs w:val="23"/>
      </w:rPr>
    </w:lvl>
  </w:abstractNum>
  <w:abstractNum w:abstractNumId="2" w15:restartNumberingAfterBreak="0">
    <w:nsid w:val="03189DC8"/>
    <w:multiLevelType w:val="singleLevel"/>
    <w:tmpl w:val="EFFC4B78"/>
    <w:lvl w:ilvl="0">
      <w:start w:val="3"/>
      <w:numFmt w:val="decimal"/>
      <w:lvlText w:val="%1."/>
      <w:lvlJc w:val="left"/>
      <w:pPr>
        <w:tabs>
          <w:tab w:val="num" w:pos="720"/>
        </w:tabs>
        <w:ind w:left="720" w:hanging="720"/>
      </w:pPr>
      <w:rPr>
        <w:rFonts w:hint="default"/>
        <w:snapToGrid/>
        <w:sz w:val="23"/>
        <w:szCs w:val="23"/>
      </w:rPr>
    </w:lvl>
  </w:abstractNum>
  <w:abstractNum w:abstractNumId="3" w15:restartNumberingAfterBreak="0">
    <w:nsid w:val="032F7861"/>
    <w:multiLevelType w:val="singleLevel"/>
    <w:tmpl w:val="29506EA8"/>
    <w:lvl w:ilvl="0">
      <w:start w:val="10"/>
      <w:numFmt w:val="decimal"/>
      <w:lvlText w:val="%1."/>
      <w:lvlJc w:val="left"/>
      <w:pPr>
        <w:ind w:left="360" w:hanging="360"/>
      </w:pPr>
      <w:rPr>
        <w:rFonts w:hint="default"/>
        <w:snapToGrid/>
        <w:sz w:val="23"/>
        <w:szCs w:val="23"/>
      </w:rPr>
    </w:lvl>
  </w:abstractNum>
  <w:abstractNum w:abstractNumId="4" w15:restartNumberingAfterBreak="0">
    <w:nsid w:val="0342DB82"/>
    <w:multiLevelType w:val="singleLevel"/>
    <w:tmpl w:val="3E61106B"/>
    <w:lvl w:ilvl="0">
      <w:start w:val="1"/>
      <w:numFmt w:val="decimal"/>
      <w:lvlText w:val="%1."/>
      <w:lvlJc w:val="left"/>
      <w:pPr>
        <w:tabs>
          <w:tab w:val="num" w:pos="720"/>
        </w:tabs>
        <w:ind w:left="720" w:hanging="648"/>
      </w:pPr>
      <w:rPr>
        <w:snapToGrid/>
        <w:spacing w:val="4"/>
        <w:sz w:val="23"/>
        <w:szCs w:val="23"/>
      </w:rPr>
    </w:lvl>
  </w:abstractNum>
  <w:abstractNum w:abstractNumId="5" w15:restartNumberingAfterBreak="0">
    <w:nsid w:val="0416A947"/>
    <w:multiLevelType w:val="singleLevel"/>
    <w:tmpl w:val="E33055D2"/>
    <w:lvl w:ilvl="0">
      <w:start w:val="6"/>
      <w:numFmt w:val="decimal"/>
      <w:lvlText w:val="%1."/>
      <w:lvlJc w:val="left"/>
      <w:pPr>
        <w:tabs>
          <w:tab w:val="num" w:pos="720"/>
        </w:tabs>
        <w:ind w:left="720" w:hanging="720"/>
      </w:pPr>
      <w:rPr>
        <w:rFonts w:hint="default"/>
        <w:snapToGrid/>
        <w:sz w:val="23"/>
        <w:szCs w:val="23"/>
      </w:rPr>
    </w:lvl>
  </w:abstractNum>
  <w:abstractNum w:abstractNumId="6" w15:restartNumberingAfterBreak="0">
    <w:nsid w:val="05DC38DD"/>
    <w:multiLevelType w:val="singleLevel"/>
    <w:tmpl w:val="3985504E"/>
    <w:lvl w:ilvl="0">
      <w:start w:val="1"/>
      <w:numFmt w:val="decimal"/>
      <w:lvlText w:val="%1."/>
      <w:lvlJc w:val="left"/>
      <w:pPr>
        <w:tabs>
          <w:tab w:val="num" w:pos="720"/>
        </w:tabs>
        <w:ind w:left="720" w:hanging="720"/>
      </w:pPr>
      <w:rPr>
        <w:snapToGrid/>
        <w:sz w:val="24"/>
        <w:szCs w:val="24"/>
      </w:rPr>
    </w:lvl>
  </w:abstractNum>
  <w:abstractNum w:abstractNumId="7" w15:restartNumberingAfterBreak="0">
    <w:nsid w:val="2CE46428"/>
    <w:multiLevelType w:val="hybridMultilevel"/>
    <w:tmpl w:val="D45C8B46"/>
    <w:lvl w:ilvl="0" w:tplc="5E2C143C">
      <w:start w:val="13"/>
      <w:numFmt w:val="decimal"/>
      <w:lvlText w:val="%1."/>
      <w:lvlJc w:val="left"/>
      <w:pPr>
        <w:tabs>
          <w:tab w:val="num" w:pos="720"/>
        </w:tabs>
        <w:ind w:left="720" w:hanging="720"/>
      </w:pPr>
      <w:rPr>
        <w:rFonts w:hint="default"/>
        <w:b w:val="0"/>
        <w:i w:val="0"/>
        <w:snapToGrid/>
        <w:sz w:val="23"/>
        <w:szCs w:val="23"/>
      </w:rPr>
    </w:lvl>
    <w:lvl w:ilvl="1" w:tplc="ABC638A8" w:tentative="1">
      <w:start w:val="1"/>
      <w:numFmt w:val="lowerLetter"/>
      <w:lvlText w:val="%2."/>
      <w:lvlJc w:val="left"/>
      <w:pPr>
        <w:ind w:left="1440" w:hanging="360"/>
      </w:pPr>
    </w:lvl>
    <w:lvl w:ilvl="2" w:tplc="11A4FCD2" w:tentative="1">
      <w:start w:val="1"/>
      <w:numFmt w:val="lowerRoman"/>
      <w:lvlText w:val="%3."/>
      <w:lvlJc w:val="right"/>
      <w:pPr>
        <w:ind w:left="2160" w:hanging="180"/>
      </w:pPr>
    </w:lvl>
    <w:lvl w:ilvl="3" w:tplc="B93CD28A" w:tentative="1">
      <w:start w:val="1"/>
      <w:numFmt w:val="decimal"/>
      <w:lvlText w:val="%4."/>
      <w:lvlJc w:val="left"/>
      <w:pPr>
        <w:ind w:left="2880" w:hanging="360"/>
      </w:pPr>
    </w:lvl>
    <w:lvl w:ilvl="4" w:tplc="6F8CE2B0" w:tentative="1">
      <w:start w:val="1"/>
      <w:numFmt w:val="lowerLetter"/>
      <w:lvlText w:val="%5."/>
      <w:lvlJc w:val="left"/>
      <w:pPr>
        <w:ind w:left="3600" w:hanging="360"/>
      </w:pPr>
    </w:lvl>
    <w:lvl w:ilvl="5" w:tplc="390E3140" w:tentative="1">
      <w:start w:val="1"/>
      <w:numFmt w:val="lowerRoman"/>
      <w:lvlText w:val="%6."/>
      <w:lvlJc w:val="right"/>
      <w:pPr>
        <w:ind w:left="4320" w:hanging="180"/>
      </w:pPr>
    </w:lvl>
    <w:lvl w:ilvl="6" w:tplc="BE46F41E" w:tentative="1">
      <w:start w:val="1"/>
      <w:numFmt w:val="decimal"/>
      <w:lvlText w:val="%7."/>
      <w:lvlJc w:val="left"/>
      <w:pPr>
        <w:ind w:left="5040" w:hanging="360"/>
      </w:pPr>
    </w:lvl>
    <w:lvl w:ilvl="7" w:tplc="BC38513A" w:tentative="1">
      <w:start w:val="1"/>
      <w:numFmt w:val="lowerLetter"/>
      <w:lvlText w:val="%8."/>
      <w:lvlJc w:val="left"/>
      <w:pPr>
        <w:ind w:left="5760" w:hanging="360"/>
      </w:pPr>
    </w:lvl>
    <w:lvl w:ilvl="8" w:tplc="9CAE47FE" w:tentative="1">
      <w:start w:val="1"/>
      <w:numFmt w:val="lowerRoman"/>
      <w:lvlText w:val="%9."/>
      <w:lvlJc w:val="right"/>
      <w:pPr>
        <w:ind w:left="6480" w:hanging="180"/>
      </w:pPr>
    </w:lvl>
  </w:abstractNum>
  <w:abstractNum w:abstractNumId="8" w15:restartNumberingAfterBreak="0">
    <w:nsid w:val="4D9047F8"/>
    <w:multiLevelType w:val="hybridMultilevel"/>
    <w:tmpl w:val="7D6AE0B8"/>
    <w:lvl w:ilvl="0" w:tplc="FF6A3D12">
      <w:start w:val="1"/>
      <w:numFmt w:val="decimal"/>
      <w:lvlText w:val="%1."/>
      <w:lvlJc w:val="left"/>
      <w:pPr>
        <w:ind w:left="720" w:hanging="360"/>
      </w:pPr>
    </w:lvl>
    <w:lvl w:ilvl="1" w:tplc="343AFA7A" w:tentative="1">
      <w:start w:val="1"/>
      <w:numFmt w:val="lowerLetter"/>
      <w:lvlText w:val="%2."/>
      <w:lvlJc w:val="left"/>
      <w:pPr>
        <w:ind w:left="1440" w:hanging="360"/>
      </w:pPr>
    </w:lvl>
    <w:lvl w:ilvl="2" w:tplc="B57CCA7E" w:tentative="1">
      <w:start w:val="1"/>
      <w:numFmt w:val="lowerRoman"/>
      <w:lvlText w:val="%3."/>
      <w:lvlJc w:val="right"/>
      <w:pPr>
        <w:ind w:left="2160" w:hanging="180"/>
      </w:pPr>
    </w:lvl>
    <w:lvl w:ilvl="3" w:tplc="D8A244A0" w:tentative="1">
      <w:start w:val="1"/>
      <w:numFmt w:val="decimal"/>
      <w:lvlText w:val="%4."/>
      <w:lvlJc w:val="left"/>
      <w:pPr>
        <w:ind w:left="2880" w:hanging="360"/>
      </w:pPr>
    </w:lvl>
    <w:lvl w:ilvl="4" w:tplc="2550B368" w:tentative="1">
      <w:start w:val="1"/>
      <w:numFmt w:val="lowerLetter"/>
      <w:lvlText w:val="%5."/>
      <w:lvlJc w:val="left"/>
      <w:pPr>
        <w:ind w:left="3600" w:hanging="360"/>
      </w:pPr>
    </w:lvl>
    <w:lvl w:ilvl="5" w:tplc="330002D2" w:tentative="1">
      <w:start w:val="1"/>
      <w:numFmt w:val="lowerRoman"/>
      <w:lvlText w:val="%6."/>
      <w:lvlJc w:val="right"/>
      <w:pPr>
        <w:ind w:left="4320" w:hanging="180"/>
      </w:pPr>
    </w:lvl>
    <w:lvl w:ilvl="6" w:tplc="71E866A0" w:tentative="1">
      <w:start w:val="1"/>
      <w:numFmt w:val="decimal"/>
      <w:lvlText w:val="%7."/>
      <w:lvlJc w:val="left"/>
      <w:pPr>
        <w:ind w:left="5040" w:hanging="360"/>
      </w:pPr>
    </w:lvl>
    <w:lvl w:ilvl="7" w:tplc="87B80F0E" w:tentative="1">
      <w:start w:val="1"/>
      <w:numFmt w:val="lowerLetter"/>
      <w:lvlText w:val="%8."/>
      <w:lvlJc w:val="left"/>
      <w:pPr>
        <w:ind w:left="5760" w:hanging="360"/>
      </w:pPr>
    </w:lvl>
    <w:lvl w:ilvl="8" w:tplc="D3141DC0" w:tentative="1">
      <w:start w:val="1"/>
      <w:numFmt w:val="lowerRoman"/>
      <w:lvlText w:val="%9."/>
      <w:lvlJc w:val="right"/>
      <w:pPr>
        <w:ind w:left="6480" w:hanging="180"/>
      </w:pPr>
    </w:lvl>
  </w:abstractNum>
  <w:num w:numId="1">
    <w:abstractNumId w:val="2"/>
  </w:num>
  <w:num w:numId="2">
    <w:abstractNumId w:val="5"/>
  </w:num>
  <w:num w:numId="3">
    <w:abstractNumId w:val="0"/>
  </w:num>
  <w:num w:numId="4">
    <w:abstractNumId w:val="3"/>
  </w:num>
  <w:num w:numId="5">
    <w:abstractNumId w:val="1"/>
  </w:num>
  <w:num w:numId="6">
    <w:abstractNumId w:val="1"/>
    <w:lvlOverride w:ilvl="0">
      <w:lvl w:ilvl="0">
        <w:numFmt w:val="decimal"/>
        <w:lvlText w:val="%1."/>
        <w:lvlJc w:val="left"/>
        <w:pPr>
          <w:tabs>
            <w:tab w:val="num" w:pos="720"/>
          </w:tabs>
          <w:ind w:left="720" w:hanging="648"/>
        </w:pPr>
        <w:rPr>
          <w:snapToGrid/>
          <w:sz w:val="23"/>
          <w:szCs w:val="23"/>
        </w:rPr>
      </w:lvl>
    </w:lvlOverride>
  </w:num>
  <w:num w:numId="7">
    <w:abstractNumId w:val="4"/>
  </w:num>
  <w:num w:numId="8">
    <w:abstractNumId w:val="6"/>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defaultTabStop w:val="720"/>
  <w:drawingGridHorizontalSpacing w:val="120"/>
  <w:drawingGridVerticalSpacing w:val="120"/>
  <w:displayHorizontalDrawingGridEvery w:val="0"/>
  <w:displayVerticalDrawingGridEvery w:val="3"/>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23C"/>
    <w:rsid w:val="003A31A6"/>
    <w:rsid w:val="00AF041B"/>
    <w:rsid w:val="00B33081"/>
    <w:rsid w:val="00F042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4D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99"/>
    <w:qFormat/>
    <w:pPr>
      <w:widowControl w:val="0"/>
      <w:autoSpaceDE w:val="0"/>
      <w:autoSpaceDN w:val="0"/>
      <w:adjustRightInd w:val="0"/>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DD3BB6"/>
  </w:style>
  <w:style w:type="character" w:customStyle="1" w:styleId="FootnoteTextChar">
    <w:name w:val="Footnote Text Char"/>
    <w:link w:val="FootnoteText"/>
    <w:uiPriority w:val="99"/>
    <w:semiHidden/>
    <w:rsid w:val="00DD3BB6"/>
    <w:rPr>
      <w:rFonts w:ascii="Times New Roman" w:hAnsi="Times New Roman" w:cs="Times New Roman"/>
      <w:sz w:val="20"/>
      <w:szCs w:val="20"/>
    </w:rPr>
  </w:style>
  <w:style w:type="character" w:styleId="FootnoteReference">
    <w:name w:val="footnote reference"/>
    <w:uiPriority w:val="99"/>
    <w:semiHidden/>
    <w:unhideWhenUsed/>
    <w:rsid w:val="00DD3BB6"/>
    <w:rPr>
      <w:vertAlign w:val="superscript"/>
    </w:rPr>
  </w:style>
  <w:style w:type="paragraph" w:styleId="Header">
    <w:name w:val="header"/>
    <w:basedOn w:val="Normal"/>
    <w:link w:val="HeaderChar"/>
    <w:uiPriority w:val="99"/>
    <w:unhideWhenUsed/>
    <w:rsid w:val="002D727F"/>
    <w:pPr>
      <w:tabs>
        <w:tab w:val="center" w:pos="4680"/>
        <w:tab w:val="right" w:pos="9360"/>
      </w:tabs>
    </w:pPr>
  </w:style>
  <w:style w:type="character" w:customStyle="1" w:styleId="HeaderChar">
    <w:name w:val="Header Char"/>
    <w:link w:val="Header"/>
    <w:uiPriority w:val="99"/>
    <w:rsid w:val="002D727F"/>
    <w:rPr>
      <w:rFonts w:ascii="Times New Roman" w:hAnsi="Times New Roman"/>
    </w:rPr>
  </w:style>
  <w:style w:type="paragraph" w:styleId="Footer">
    <w:name w:val="footer"/>
    <w:basedOn w:val="Normal"/>
    <w:link w:val="FooterChar"/>
    <w:uiPriority w:val="99"/>
    <w:unhideWhenUsed/>
    <w:rsid w:val="002D727F"/>
    <w:pPr>
      <w:tabs>
        <w:tab w:val="center" w:pos="4680"/>
        <w:tab w:val="right" w:pos="9360"/>
      </w:tabs>
    </w:pPr>
  </w:style>
  <w:style w:type="character" w:customStyle="1" w:styleId="FooterChar">
    <w:name w:val="Footer Char"/>
    <w:link w:val="Footer"/>
    <w:uiPriority w:val="99"/>
    <w:rsid w:val="002D727F"/>
    <w:rPr>
      <w:rFonts w:ascii="Times New Roman" w:hAnsi="Times New Roman"/>
    </w:rPr>
  </w:style>
  <w:style w:type="paragraph" w:styleId="BalloonText">
    <w:name w:val="Balloon Text"/>
    <w:basedOn w:val="Normal"/>
    <w:link w:val="BalloonTextChar"/>
    <w:uiPriority w:val="99"/>
    <w:semiHidden/>
    <w:unhideWhenUsed/>
    <w:rsid w:val="006B426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426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970</Words>
  <Characters>5078</Characters>
  <Application>Microsoft Office Word</Application>
  <DocSecurity>0</DocSecurity>
  <Lines>42</Lines>
  <Paragraphs>12</Paragraphs>
  <ScaleCrop>false</ScaleCrop>
  <Company/>
  <LinksUpToDate>false</LinksUpToDate>
  <CharactersWithSpaces>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2019-09-13T15:44:00Z</dcterms:created>
  <dcterms:modified xsi:type="dcterms:W3CDTF">2019-09-13T15:44:00Z</dcterms:modified>
</cp:coreProperties>
</file>